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F1E30" w14:textId="77777777" w:rsidR="00940110" w:rsidRDefault="00000000">
      <w:pPr>
        <w:spacing w:before="240" w:after="240"/>
        <w:rPr>
          <w:b/>
        </w:rPr>
      </w:pPr>
      <w:r>
        <w:rPr>
          <w:rFonts w:ascii="Calibri" w:eastAsia="Calibri" w:hAnsi="Calibri" w:cs="Calibri"/>
          <w:i/>
          <w:noProof/>
          <w:color w:val="C4A577"/>
          <w:sz w:val="20"/>
          <w:szCs w:val="20"/>
        </w:rPr>
        <w:drawing>
          <wp:inline distT="114300" distB="114300" distL="114300" distR="114300" wp14:anchorId="71DFA20C" wp14:editId="2B589135">
            <wp:extent cx="2076450" cy="101294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l="3112" t="24966" r="3112" b="26978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0129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  <w:t>Oggetto: Obbligo di adeguati assetti e informativa di bilancio – Azioni necessarie e responsabilità</w:t>
      </w:r>
    </w:p>
    <w:p w14:paraId="55F5CAB0" w14:textId="77777777" w:rsidR="00940110" w:rsidRDefault="00000000">
      <w:pPr>
        <w:spacing w:before="240" w:after="240"/>
      </w:pPr>
      <w:r>
        <w:t>Egregio Amministratore,</w:t>
      </w:r>
    </w:p>
    <w:p w14:paraId="516DA511" w14:textId="77777777" w:rsidR="00940110" w:rsidRDefault="00000000">
      <w:pPr>
        <w:spacing w:before="240" w:after="240"/>
      </w:pPr>
      <w:r>
        <w:t xml:space="preserve">con l’approvazione del bilancio 2024 e alla luce dell’entrata in vigore del </w:t>
      </w:r>
      <w:proofErr w:type="spellStart"/>
      <w:r>
        <w:t>D.Lgs.</w:t>
      </w:r>
      <w:proofErr w:type="spellEnd"/>
      <w:r>
        <w:t xml:space="preserve"> 83/2022, Le ricordiamo l’obbligo di istituire </w:t>
      </w:r>
      <w:r>
        <w:rPr>
          <w:b/>
        </w:rPr>
        <w:t>adeguati assetti organizzativi, amministrativi e contabili</w:t>
      </w:r>
      <w:r>
        <w:t xml:space="preserve">, come previsto dagli artt. 2086, 2381 e 2475 c.c., anche ai fini della </w:t>
      </w:r>
      <w:r>
        <w:rPr>
          <w:b/>
        </w:rPr>
        <w:t>rilevazione tempestiva della crisi d’impresa</w:t>
      </w:r>
      <w:r>
        <w:t>.</w:t>
      </w:r>
    </w:p>
    <w:p w14:paraId="766262ED" w14:textId="77777777" w:rsidR="00940110" w:rsidRDefault="00000000">
      <w:pPr>
        <w:spacing w:before="240" w:after="240"/>
      </w:pPr>
      <w:r>
        <w:t xml:space="preserve">Tale obbligo non è solo strutturale, ma anche </w:t>
      </w:r>
      <w:r>
        <w:rPr>
          <w:b/>
        </w:rPr>
        <w:t>informativo</w:t>
      </w:r>
      <w:r>
        <w:t xml:space="preserve">: deve essere riportato in nota integrativa (o, se presente, nella relazione sulla gestione), evidenziando </w:t>
      </w:r>
      <w:r>
        <w:rPr>
          <w:b/>
        </w:rPr>
        <w:t>come</w:t>
      </w:r>
      <w:r>
        <w:t xml:space="preserve"> gli assetti siano stati implementati e </w:t>
      </w:r>
      <w:r>
        <w:rPr>
          <w:b/>
        </w:rPr>
        <w:t>quali strumenti</w:t>
      </w:r>
      <w:r>
        <w:t xml:space="preserve"> siano utilizzati per monitorare la continuità aziendale.</w:t>
      </w:r>
    </w:p>
    <w:p w14:paraId="377A1190" w14:textId="6C007401" w:rsidR="00940110" w:rsidRDefault="00000000">
      <w:pPr>
        <w:spacing w:before="240" w:after="240"/>
      </w:pPr>
      <w:r>
        <w:t xml:space="preserve">Il monitoraggio richiesto non può limitarsi a meri indicatori di bilancio (ROI, CCN), ma deve includere </w:t>
      </w:r>
      <w:r>
        <w:rPr>
          <w:b/>
        </w:rPr>
        <w:t>KPI qualitativi</w:t>
      </w:r>
      <w:r>
        <w:t xml:space="preserve"> (es. clima </w:t>
      </w:r>
      <w:r w:rsidR="000F4E9F">
        <w:t>aziendale</w:t>
      </w:r>
      <w:r>
        <w:t xml:space="preserve">, soddisfazione clienti, innovazione, </w:t>
      </w:r>
      <w:r w:rsidR="000F4E9F">
        <w:t>formazione</w:t>
      </w:r>
      <w:r>
        <w:t xml:space="preserve">, ecc.), secondo quanto previsto dalla </w:t>
      </w:r>
      <w:r>
        <w:rPr>
          <w:b/>
        </w:rPr>
        <w:t>check-list ministeriale</w:t>
      </w:r>
      <w:r>
        <w:t xml:space="preserve"> per la composizione negoziata.</w:t>
      </w:r>
    </w:p>
    <w:p w14:paraId="610097B4" w14:textId="77777777" w:rsidR="00940110" w:rsidRDefault="00000000">
      <w:pPr>
        <w:spacing w:before="240" w:after="240"/>
      </w:pPr>
      <w:r>
        <w:t xml:space="preserve">L’omissione o l’inadeguatezza dell’assetto espone l’amministratore a </w:t>
      </w:r>
      <w:r>
        <w:rPr>
          <w:b/>
        </w:rPr>
        <w:t>gravi responsabilità personali</w:t>
      </w:r>
      <w:r>
        <w:t>, tra cui:</w:t>
      </w:r>
    </w:p>
    <w:p w14:paraId="6EC8BEC9" w14:textId="77777777" w:rsidR="00940110" w:rsidRDefault="00000000">
      <w:pPr>
        <w:numPr>
          <w:ilvl w:val="0"/>
          <w:numId w:val="1"/>
        </w:numPr>
        <w:spacing w:before="240"/>
      </w:pPr>
      <w:r>
        <w:t>Risposta personale verso i creditori (perdita responsabilità limitata)</w:t>
      </w:r>
      <w:r>
        <w:br/>
      </w:r>
    </w:p>
    <w:p w14:paraId="264C2287" w14:textId="77777777" w:rsidR="00940110" w:rsidRDefault="00000000">
      <w:pPr>
        <w:numPr>
          <w:ilvl w:val="0"/>
          <w:numId w:val="1"/>
        </w:numPr>
      </w:pPr>
      <w:r>
        <w:t>Estensione degli effetti dell’insolvenza al patrimonio privato</w:t>
      </w:r>
      <w:r>
        <w:br/>
      </w:r>
    </w:p>
    <w:p w14:paraId="51D5521C" w14:textId="02990C9F" w:rsidR="00940110" w:rsidRDefault="00000000">
      <w:pPr>
        <w:numPr>
          <w:ilvl w:val="0"/>
          <w:numId w:val="1"/>
        </w:numPr>
        <w:spacing w:after="240"/>
      </w:pPr>
      <w:r>
        <w:t xml:space="preserve">Rilevanza in sede giudiziale (vedi ordinanza Cassazione n. 2172/2023 e </w:t>
      </w:r>
      <w:proofErr w:type="spellStart"/>
      <w:r>
        <w:t>Trib</w:t>
      </w:r>
      <w:proofErr w:type="spellEnd"/>
      <w:r>
        <w:t>. Cagliari</w:t>
      </w:r>
      <w:r w:rsidR="000F4E9F">
        <w:t xml:space="preserve"> n. 188/2021</w:t>
      </w:r>
      <w:r>
        <w:t>)</w:t>
      </w:r>
      <w:r>
        <w:br/>
      </w:r>
    </w:p>
    <w:p w14:paraId="7FBBD76E" w14:textId="77777777" w:rsidR="00940110" w:rsidRDefault="00000000">
      <w:pPr>
        <w:spacing w:before="240" w:after="240"/>
      </w:pPr>
      <w:r>
        <w:rPr>
          <w:b/>
        </w:rPr>
        <w:t>Lo Studio è a disposizione per assisterla</w:t>
      </w:r>
      <w:r>
        <w:t xml:space="preserve"> nella redazione della perizia tecnica e nell’impostazione del sistema di monitoraggio, così da assolvere pienamente agli obblighi di legge e tutelare la Sua posizione.</w:t>
      </w:r>
    </w:p>
    <w:p w14:paraId="6444A04D" w14:textId="77777777" w:rsidR="00940110" w:rsidRDefault="00000000">
      <w:pPr>
        <w:spacing w:before="240" w:after="240"/>
      </w:pPr>
      <w:r>
        <w:t>In assenza di incarico, sarà necessario ricevere da parte Sua un consenso informato liberatorio e le chiediamo di comunicarci, via PEC, il testo da riportare in bilancio.</w:t>
      </w:r>
      <w:r>
        <w:br/>
        <w:t xml:space="preserve"> La invitiamo a darci riscontro entro </w:t>
      </w:r>
      <w:r>
        <w:rPr>
          <w:b/>
        </w:rPr>
        <w:t>5 giorni lavorativi</w:t>
      </w:r>
      <w:r>
        <w:t>.</w:t>
      </w:r>
    </w:p>
    <w:p w14:paraId="37C6A83A" w14:textId="77777777" w:rsidR="00940110" w:rsidRDefault="00000000">
      <w:pPr>
        <w:spacing w:before="240" w:after="240"/>
        <w:rPr>
          <w:b/>
        </w:rPr>
      </w:pPr>
      <w:r>
        <w:lastRenderedPageBreak/>
        <w:t>Cordiali saluti,</w:t>
      </w:r>
      <w:r>
        <w:br/>
        <w:t xml:space="preserve"> </w:t>
      </w:r>
      <w:r>
        <w:rPr>
          <w:b/>
        </w:rPr>
        <w:t>[NOME STUDIO]</w:t>
      </w:r>
    </w:p>
    <w:p w14:paraId="5B309561" w14:textId="77777777" w:rsidR="00940110" w:rsidRDefault="00940110"/>
    <w:sectPr w:rsidR="0094011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91291"/>
    <w:multiLevelType w:val="multilevel"/>
    <w:tmpl w:val="09463C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778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110"/>
    <w:rsid w:val="000F4E9F"/>
    <w:rsid w:val="00940110"/>
    <w:rsid w:val="00FD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6D63E"/>
  <w15:docId w15:val="{0FCA1788-08F0-4BA8-B8E4-34E9C2080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 Passamonti</cp:lastModifiedBy>
  <cp:revision>2</cp:revision>
  <dcterms:created xsi:type="dcterms:W3CDTF">2025-06-04T11:04:00Z</dcterms:created>
  <dcterms:modified xsi:type="dcterms:W3CDTF">2025-06-04T11:05:00Z</dcterms:modified>
</cp:coreProperties>
</file>