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8CB6B9D" w14:textId="77777777" w:rsidR="00A25375" w:rsidRDefault="00000000">
      <w:pPr>
        <w:widowControl w:val="0"/>
        <w:spacing w:before="240" w:after="240"/>
        <w:jc w:val="center"/>
        <w:rPr>
          <w:rFonts w:ascii="Arimo" w:eastAsia="Arimo" w:hAnsi="Arimo" w:cs="Arimo"/>
          <w:b/>
          <w:color w:val="C4A577"/>
          <w:sz w:val="32"/>
          <w:szCs w:val="32"/>
        </w:rPr>
      </w:pPr>
      <w:r>
        <w:rPr>
          <w:rFonts w:ascii="Arimo" w:eastAsia="Arimo" w:hAnsi="Arimo" w:cs="Arimo"/>
          <w:b/>
          <w:color w:val="C4A577"/>
          <w:sz w:val="32"/>
          <w:szCs w:val="32"/>
        </w:rPr>
        <w:t>CONSENSO INFORMATO</w:t>
      </w:r>
    </w:p>
    <w:p w14:paraId="5EEC52AE" w14:textId="4A42AF7B" w:rsidR="00A25375" w:rsidRDefault="00000000">
      <w:pPr>
        <w:spacing w:before="240" w:after="240" w:line="276" w:lineRule="auto"/>
        <w:jc w:val="both"/>
        <w:rPr>
          <w:rFonts w:ascii="Arimo" w:eastAsia="Arimo" w:hAnsi="Arimo" w:cs="Arimo"/>
          <w:b/>
          <w:color w:val="666666"/>
          <w:sz w:val="22"/>
          <w:szCs w:val="22"/>
        </w:rPr>
      </w:pPr>
      <w:r>
        <w:rPr>
          <w:rFonts w:ascii="Arimo" w:eastAsia="Arimo" w:hAnsi="Arimo" w:cs="Arimo"/>
          <w:b/>
          <w:color w:val="666666"/>
          <w:sz w:val="22"/>
          <w:szCs w:val="22"/>
        </w:rPr>
        <w:t>RISPETTO ALLE NUOVE DISPOSIZIONI DI CUI ALL’ART. 2082 COMMA 2</w:t>
      </w:r>
      <w:r w:rsidR="00082ED6">
        <w:rPr>
          <w:rFonts w:ascii="Arimo" w:eastAsia="Arimo" w:hAnsi="Arimo" w:cs="Arimo"/>
          <w:b/>
          <w:color w:val="666666"/>
          <w:sz w:val="22"/>
          <w:szCs w:val="22"/>
        </w:rPr>
        <w:t xml:space="preserve"> </w:t>
      </w:r>
      <w:r>
        <w:rPr>
          <w:rFonts w:ascii="Arimo" w:eastAsia="Arimo" w:hAnsi="Arimo" w:cs="Arimo"/>
          <w:b/>
          <w:color w:val="666666"/>
          <w:sz w:val="22"/>
          <w:szCs w:val="22"/>
        </w:rPr>
        <w:t>C.C., DELL’ART. 3 D.DLGS. 14/2019, DELL’ART. 2476 SESTO COMMA, DELL’ART. 2381 COMMA 5, IN VIGORE DAL 16 MARZO 2019 E SUCCESSIVE MODIFICHE, SULLA RESPONSABILITA’ DEGLI AMMINISTRATORI RISPETTO A TUTTE LE OBBLIGAZIONI SOCIALI SOPRATTUTTO DELL’INFORMATIVA DA INDICARE IN NOTA INTEGRATIVA.</w:t>
      </w:r>
    </w:p>
    <w:p w14:paraId="2B2CC596" w14:textId="77777777" w:rsidR="00A25375" w:rsidRDefault="00A25375">
      <w:pPr>
        <w:spacing w:before="240" w:after="240" w:line="192" w:lineRule="auto"/>
        <w:jc w:val="both"/>
        <w:rPr>
          <w:rFonts w:ascii="Arimo" w:eastAsia="Arimo" w:hAnsi="Arimo" w:cs="Arimo"/>
          <w:b/>
          <w:color w:val="666666"/>
          <w:sz w:val="22"/>
          <w:szCs w:val="22"/>
        </w:rPr>
      </w:pPr>
    </w:p>
    <w:p w14:paraId="6FA4E64D" w14:textId="77777777" w:rsidR="00A25375" w:rsidRDefault="00000000">
      <w:pPr>
        <w:spacing w:before="240" w:after="240" w:line="192" w:lineRule="auto"/>
        <w:rPr>
          <w:rFonts w:ascii="Times New Roman" w:eastAsia="Times New Roman" w:hAnsi="Times New Roman" w:cs="Times New Roman"/>
          <w:color w:val="666666"/>
          <w:sz w:val="22"/>
          <w:szCs w:val="22"/>
        </w:rPr>
      </w:pPr>
      <w:r>
        <w:rPr>
          <w:rFonts w:ascii="Arimo" w:eastAsia="Arimo" w:hAnsi="Arimo" w:cs="Arimo"/>
          <w:color w:val="666666"/>
          <w:sz w:val="22"/>
          <w:szCs w:val="22"/>
        </w:rPr>
        <w:t xml:space="preserve">Luogo: ________________________________, Data: </w:t>
      </w:r>
      <w:r>
        <w:rPr>
          <w:rFonts w:ascii="Times New Roman" w:eastAsia="Times New Roman" w:hAnsi="Times New Roman" w:cs="Times New Roman"/>
          <w:color w:val="666666"/>
          <w:sz w:val="22"/>
          <w:szCs w:val="22"/>
        </w:rPr>
        <w:t>________________________________</w:t>
      </w:r>
    </w:p>
    <w:p w14:paraId="24241DDF" w14:textId="77777777" w:rsidR="00A25375" w:rsidRDefault="00A25375">
      <w:pPr>
        <w:spacing w:before="240" w:after="240" w:line="192" w:lineRule="auto"/>
        <w:rPr>
          <w:rFonts w:ascii="Times New Roman" w:eastAsia="Times New Roman" w:hAnsi="Times New Roman" w:cs="Times New Roman"/>
          <w:color w:val="666666"/>
          <w:sz w:val="22"/>
          <w:szCs w:val="22"/>
        </w:rPr>
      </w:pPr>
    </w:p>
    <w:p w14:paraId="189ABE45" w14:textId="77777777" w:rsidR="00A25375" w:rsidRDefault="00000000">
      <w:pPr>
        <w:spacing w:before="240" w:after="240" w:line="192" w:lineRule="auto"/>
        <w:rPr>
          <w:rFonts w:ascii="Arimo" w:eastAsia="Arimo" w:hAnsi="Arimo" w:cs="Arimo"/>
          <w:color w:val="666666"/>
          <w:sz w:val="22"/>
          <w:szCs w:val="22"/>
        </w:rPr>
      </w:pPr>
      <w:r>
        <w:rPr>
          <w:rFonts w:ascii="Arimo" w:eastAsia="Arimo" w:hAnsi="Arimo" w:cs="Arimo"/>
          <w:color w:val="666666"/>
          <w:sz w:val="22"/>
          <w:szCs w:val="22"/>
        </w:rPr>
        <w:t>Il sottoscritto (nome e cognome Dominus dello Studio professionale):</w:t>
      </w:r>
    </w:p>
    <w:p w14:paraId="038210C5" w14:textId="77777777" w:rsidR="00A25375" w:rsidRDefault="00000000">
      <w:pPr>
        <w:spacing w:before="240" w:after="240" w:line="192" w:lineRule="auto"/>
        <w:rPr>
          <w:rFonts w:ascii="Arimo" w:eastAsia="Arimo" w:hAnsi="Arimo" w:cs="Arimo"/>
          <w:color w:val="666666"/>
          <w:sz w:val="22"/>
          <w:szCs w:val="22"/>
        </w:rPr>
      </w:pPr>
      <w:r>
        <w:rPr>
          <w:rFonts w:ascii="Arimo" w:eastAsia="Arimo" w:hAnsi="Arimo" w:cs="Arimo"/>
          <w:color w:val="666666"/>
          <w:sz w:val="22"/>
          <w:szCs w:val="22"/>
        </w:rPr>
        <w:t xml:space="preserve"> </w:t>
      </w:r>
      <w:r>
        <w:rPr>
          <w:rFonts w:ascii="Times New Roman" w:eastAsia="Times New Roman" w:hAnsi="Times New Roman" w:cs="Times New Roman"/>
          <w:color w:val="666666"/>
          <w:sz w:val="22"/>
          <w:szCs w:val="22"/>
        </w:rPr>
        <w:t>________________________________________________________________</w:t>
      </w:r>
      <w:r>
        <w:rPr>
          <w:rFonts w:ascii="Arimo" w:eastAsia="Arimo" w:hAnsi="Arimo" w:cs="Arimo"/>
          <w:color w:val="666666"/>
          <w:sz w:val="22"/>
          <w:szCs w:val="22"/>
        </w:rPr>
        <w:t xml:space="preserve"> </w:t>
      </w:r>
    </w:p>
    <w:p w14:paraId="2FCA15C8" w14:textId="77777777" w:rsidR="00A25375" w:rsidRDefault="00A25375">
      <w:pPr>
        <w:spacing w:before="240" w:after="240" w:line="192" w:lineRule="auto"/>
        <w:rPr>
          <w:rFonts w:ascii="Arimo" w:eastAsia="Arimo" w:hAnsi="Arimo" w:cs="Arimo"/>
          <w:color w:val="666666"/>
          <w:sz w:val="22"/>
          <w:szCs w:val="22"/>
        </w:rPr>
      </w:pPr>
    </w:p>
    <w:p w14:paraId="76B266AE" w14:textId="77777777" w:rsidR="00A25375" w:rsidRDefault="00000000">
      <w:pPr>
        <w:spacing w:before="240" w:after="240" w:line="192" w:lineRule="auto"/>
        <w:rPr>
          <w:rFonts w:ascii="Arimo" w:eastAsia="Arimo" w:hAnsi="Arimo" w:cs="Arimo"/>
          <w:color w:val="666666"/>
          <w:sz w:val="22"/>
          <w:szCs w:val="22"/>
        </w:rPr>
      </w:pPr>
      <w:r>
        <w:rPr>
          <w:rFonts w:ascii="Arimo" w:eastAsia="Arimo" w:hAnsi="Arimo" w:cs="Arimo"/>
          <w:color w:val="666666"/>
          <w:sz w:val="22"/>
          <w:szCs w:val="22"/>
        </w:rPr>
        <w:t>per conto dello Studio (nome studio o società di consulenza):</w:t>
      </w:r>
    </w:p>
    <w:p w14:paraId="351A16ED" w14:textId="77777777" w:rsidR="00A25375" w:rsidRDefault="00000000">
      <w:pPr>
        <w:spacing w:before="240" w:after="240" w:line="192" w:lineRule="auto"/>
        <w:rPr>
          <w:rFonts w:ascii="Arimo" w:eastAsia="Arimo" w:hAnsi="Arimo" w:cs="Arimo"/>
          <w:color w:val="666666"/>
          <w:sz w:val="22"/>
          <w:szCs w:val="22"/>
        </w:rPr>
      </w:pPr>
      <w:r>
        <w:rPr>
          <w:rFonts w:ascii="Arimo" w:eastAsia="Arimo" w:hAnsi="Arimo" w:cs="Arimo"/>
          <w:color w:val="666666"/>
          <w:sz w:val="22"/>
          <w:szCs w:val="22"/>
        </w:rPr>
        <w:t>_</w:t>
      </w:r>
      <w:r>
        <w:rPr>
          <w:rFonts w:ascii="Times New Roman" w:eastAsia="Times New Roman" w:hAnsi="Times New Roman" w:cs="Times New Roman"/>
          <w:color w:val="666666"/>
          <w:sz w:val="22"/>
          <w:szCs w:val="22"/>
        </w:rPr>
        <w:t>________________________________________________________________</w:t>
      </w:r>
      <w:r>
        <w:rPr>
          <w:rFonts w:ascii="Arimo" w:eastAsia="Arimo" w:hAnsi="Arimo" w:cs="Arimo"/>
          <w:color w:val="666666"/>
          <w:sz w:val="22"/>
          <w:szCs w:val="22"/>
        </w:rPr>
        <w:t xml:space="preserve"> </w:t>
      </w:r>
    </w:p>
    <w:p w14:paraId="44EE435C" w14:textId="77777777" w:rsidR="00A25375" w:rsidRDefault="00A25375">
      <w:pPr>
        <w:widowControl w:val="0"/>
        <w:ind w:left="320" w:right="280"/>
        <w:jc w:val="center"/>
        <w:rPr>
          <w:rFonts w:ascii="Arimo" w:eastAsia="Arimo" w:hAnsi="Arimo" w:cs="Arimo"/>
          <w:b/>
          <w:color w:val="C4A577"/>
          <w:sz w:val="26"/>
          <w:szCs w:val="26"/>
        </w:rPr>
      </w:pPr>
    </w:p>
    <w:p w14:paraId="039B0248" w14:textId="77777777" w:rsidR="00A25375" w:rsidRDefault="00000000">
      <w:pPr>
        <w:widowControl w:val="0"/>
        <w:ind w:left="320" w:right="280"/>
        <w:jc w:val="center"/>
        <w:rPr>
          <w:rFonts w:ascii="Arimo" w:eastAsia="Arimo" w:hAnsi="Arimo" w:cs="Arimo"/>
          <w:b/>
          <w:color w:val="C4A577"/>
          <w:sz w:val="26"/>
          <w:szCs w:val="26"/>
        </w:rPr>
      </w:pPr>
      <w:r>
        <w:rPr>
          <w:rFonts w:ascii="Arimo" w:eastAsia="Arimo" w:hAnsi="Arimo" w:cs="Arimo"/>
          <w:b/>
          <w:color w:val="C4A577"/>
          <w:sz w:val="26"/>
          <w:szCs w:val="26"/>
        </w:rPr>
        <w:t>Premesso</w:t>
      </w:r>
    </w:p>
    <w:p w14:paraId="6CB3402C" w14:textId="77777777" w:rsidR="00A25375" w:rsidRDefault="00A25375">
      <w:pPr>
        <w:widowControl w:val="0"/>
        <w:ind w:left="320" w:right="280"/>
        <w:jc w:val="center"/>
        <w:rPr>
          <w:rFonts w:ascii="Arimo" w:eastAsia="Arimo" w:hAnsi="Arimo" w:cs="Arimo"/>
          <w:b/>
          <w:color w:val="666666"/>
          <w:sz w:val="26"/>
          <w:szCs w:val="26"/>
        </w:rPr>
      </w:pPr>
    </w:p>
    <w:p w14:paraId="33B1C4C8" w14:textId="77777777" w:rsidR="00A25375" w:rsidRDefault="00000000">
      <w:pPr>
        <w:widowControl w:val="0"/>
        <w:spacing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t>Che</w:t>
      </w:r>
      <w:r>
        <w:rPr>
          <w:rFonts w:ascii="Tahoma" w:eastAsia="Tahoma" w:hAnsi="Tahoma" w:cs="Tahoma"/>
          <w:color w:val="666666"/>
          <w:sz w:val="22"/>
          <w:szCs w:val="22"/>
        </w:rPr>
        <w:t xml:space="preserve"> l’art. 2086 comma 2 e l’art. 3 comma 3 del D.lgs. 14/2019, e dal </w:t>
      </w:r>
      <w:proofErr w:type="spellStart"/>
      <w:r>
        <w:rPr>
          <w:rFonts w:ascii="Tahoma" w:eastAsia="Tahoma" w:hAnsi="Tahoma" w:cs="Tahoma"/>
          <w:color w:val="666666"/>
          <w:sz w:val="22"/>
          <w:szCs w:val="22"/>
        </w:rPr>
        <w:t>D.Lgs.</w:t>
      </w:r>
      <w:proofErr w:type="spellEnd"/>
      <w:r>
        <w:rPr>
          <w:rFonts w:ascii="Tahoma" w:eastAsia="Tahoma" w:hAnsi="Tahoma" w:cs="Tahoma"/>
          <w:color w:val="666666"/>
          <w:sz w:val="22"/>
          <w:szCs w:val="22"/>
        </w:rPr>
        <w:t xml:space="preserve"> 83/2022 obbligano gli amministratori ad istituire adeguati assetti organizzativi amministrativi e contabili al fine di intercettare gli indizi di crisi e mantenere la continuità;</w:t>
      </w:r>
    </w:p>
    <w:p w14:paraId="45D6FC9B" w14:textId="77777777" w:rsidR="00A25375" w:rsidRDefault="00000000">
      <w:pPr>
        <w:widowControl w:val="0"/>
        <w:spacing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t>Che</w:t>
      </w:r>
      <w:r>
        <w:rPr>
          <w:rFonts w:ascii="Tahoma" w:eastAsia="Tahoma" w:hAnsi="Tahoma" w:cs="Tahoma"/>
          <w:color w:val="666666"/>
          <w:sz w:val="22"/>
          <w:szCs w:val="22"/>
        </w:rPr>
        <w:t xml:space="preserve"> dal 15 Luglio del 2022, e quindi dal deposito del bilancio relativo all’anno 2022, il </w:t>
      </w:r>
      <w:proofErr w:type="spellStart"/>
      <w:r>
        <w:rPr>
          <w:rFonts w:ascii="Tahoma" w:eastAsia="Tahoma" w:hAnsi="Tahoma" w:cs="Tahoma"/>
          <w:color w:val="666666"/>
          <w:sz w:val="22"/>
          <w:szCs w:val="22"/>
        </w:rPr>
        <w:t>D.Lgs</w:t>
      </w:r>
      <w:proofErr w:type="spellEnd"/>
      <w:r>
        <w:rPr>
          <w:rFonts w:ascii="Tahoma" w:eastAsia="Tahoma" w:hAnsi="Tahoma" w:cs="Tahoma"/>
          <w:color w:val="666666"/>
          <w:sz w:val="22"/>
          <w:szCs w:val="22"/>
        </w:rPr>
        <w:t xml:space="preserve"> 83/2022 (correttivo alla nuova riforma della Crisi d’Impresa), obbliga gli amministratori anche ad adempiere ad un obbligo INFORMATIVO in merito alle modalità con le quali hanno provveduto ad implementare detti adeguati assetti e a misurare la continuità aziendale così come intesa dal principio ISA 570;</w:t>
      </w:r>
    </w:p>
    <w:p w14:paraId="63A598E1" w14:textId="16F78384" w:rsidR="00A25375" w:rsidRDefault="00000000">
      <w:pPr>
        <w:widowControl w:val="0"/>
        <w:spacing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t>Che</w:t>
      </w:r>
      <w:r>
        <w:rPr>
          <w:rFonts w:ascii="Tahoma" w:eastAsia="Tahoma" w:hAnsi="Tahoma" w:cs="Tahoma"/>
          <w:color w:val="666666"/>
          <w:sz w:val="22"/>
          <w:szCs w:val="22"/>
        </w:rPr>
        <w:t xml:space="preserve"> l’art. 2381 comma 5 recita: “Gli organi delegati curano che l'assetto organizzativo, amministrativo e contabile sia adeguato alla natura 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alle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dimensioni dell'impresa e riferiscono al consiglio di amministrazione e al collegio sindacale, con la periodicità fissata dallo statuto e in ogni caso almeno ogni sei mesi, sul generale andamento della gestione e sulla sua prevedibile evoluzione nonché sulle operazioni di maggior rilievo, per le loro dimensioni o caratteristiche, effettuate dalla società e dalle sue controllate”;</w:t>
      </w:r>
    </w:p>
    <w:p w14:paraId="62E6D005" w14:textId="7D11F069" w:rsidR="00A25375" w:rsidRDefault="00000000">
      <w:pPr>
        <w:widowControl w:val="0"/>
        <w:spacing w:before="74"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lastRenderedPageBreak/>
        <w:t>Che</w:t>
      </w:r>
      <w:r>
        <w:rPr>
          <w:rFonts w:ascii="Tahoma" w:eastAsia="Tahoma" w:hAnsi="Tahoma" w:cs="Tahoma"/>
          <w:color w:val="666666"/>
          <w:sz w:val="22"/>
          <w:szCs w:val="22"/>
        </w:rPr>
        <w:t xml:space="preserve"> La lettera c) comma 3 dell’art. 3 della riforma della Crisi (D.lgs. 14/2019) si occupa di dare contenuto all'obbligo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 xml:space="preserve"> istituzione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 xml:space="preserve"> degli adeguati assetti,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statuendo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che,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al fine di prevedere tempestivamente l'emersione della crisi d'impresa, il sistema informativo aziendale deve essere in grado di ricavare le informazioni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necessarie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a</w:t>
      </w:r>
      <w:r w:rsidR="00082ED6">
        <w:rPr>
          <w:rFonts w:ascii="Tahoma" w:eastAsia="Tahoma" w:hAnsi="Tahoma" w:cs="Tahoma"/>
          <w:color w:val="666666"/>
          <w:sz w:val="22"/>
          <w:szCs w:val="22"/>
        </w:rPr>
        <w:t xml:space="preserve"> </w:t>
      </w:r>
      <w:r>
        <w:rPr>
          <w:rFonts w:ascii="Tahoma" w:eastAsia="Tahoma" w:hAnsi="Tahoma" w:cs="Tahoma"/>
          <w:color w:val="666666"/>
          <w:sz w:val="22"/>
          <w:szCs w:val="22"/>
        </w:rPr>
        <w:t>utilizzare la lista di controllo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particolareggiata del Ministero di Grazia e Giustizia del 28 settembre 2021, inerente la composizione negoziata per la soluzione della crisi d’impresa, e ad effettuare il test</w:t>
      </w:r>
      <w:r w:rsidR="00082ED6">
        <w:rPr>
          <w:rFonts w:ascii="Tahoma" w:eastAsia="Tahoma" w:hAnsi="Tahoma" w:cs="Tahoma"/>
          <w:color w:val="666666"/>
          <w:sz w:val="22"/>
          <w:szCs w:val="22"/>
        </w:rPr>
        <w:t xml:space="preserve"> </w:t>
      </w:r>
      <w:r>
        <w:rPr>
          <w:rFonts w:ascii="Tahoma" w:eastAsia="Tahoma" w:hAnsi="Tahoma" w:cs="Tahoma"/>
          <w:color w:val="666666"/>
          <w:sz w:val="22"/>
          <w:szCs w:val="22"/>
        </w:rPr>
        <w:t>pratico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per</w:t>
      </w:r>
      <w:r w:rsidR="00082ED6">
        <w:rPr>
          <w:rFonts w:ascii="Tahoma" w:eastAsia="Tahoma" w:hAnsi="Tahoma" w:cs="Tahoma"/>
          <w:color w:val="666666"/>
          <w:sz w:val="22"/>
          <w:szCs w:val="22"/>
        </w:rPr>
        <w:t xml:space="preserve"> </w:t>
      </w:r>
      <w:r>
        <w:rPr>
          <w:rFonts w:ascii="Tahoma" w:eastAsia="Tahoma" w:hAnsi="Tahoma" w:cs="Tahoma"/>
          <w:color w:val="666666"/>
          <w:sz w:val="22"/>
          <w:szCs w:val="22"/>
        </w:rPr>
        <w:t>la verifica</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della</w:t>
      </w:r>
      <w:r w:rsidR="00082ED6">
        <w:rPr>
          <w:rFonts w:ascii="Tahoma" w:eastAsia="Tahoma" w:hAnsi="Tahoma" w:cs="Tahoma"/>
          <w:color w:val="666666"/>
          <w:sz w:val="22"/>
          <w:szCs w:val="22"/>
        </w:rPr>
        <w:t xml:space="preserve"> </w:t>
      </w:r>
      <w:r>
        <w:rPr>
          <w:rFonts w:ascii="Tahoma" w:eastAsia="Tahoma" w:hAnsi="Tahoma" w:cs="Tahoma"/>
          <w:color w:val="666666"/>
          <w:sz w:val="22"/>
          <w:szCs w:val="22"/>
        </w:rPr>
        <w:t>ragionevole perseguibilità del risanamento di cui all'articolo 13, al comma 2 del C.C.I.I.;</w:t>
      </w:r>
    </w:p>
    <w:p w14:paraId="4BC73951" w14:textId="380B976D" w:rsidR="00A25375" w:rsidRDefault="00000000">
      <w:pPr>
        <w:widowControl w:val="0"/>
        <w:spacing w:before="74"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t>Che</w:t>
      </w:r>
      <w:r>
        <w:rPr>
          <w:rFonts w:ascii="Tahoma" w:eastAsia="Tahoma" w:hAnsi="Tahoma" w:cs="Tahoma"/>
          <w:color w:val="666666"/>
          <w:sz w:val="22"/>
          <w:szCs w:val="22"/>
        </w:rPr>
        <w:t xml:space="preserve"> le disposizioni di cui sopra debbono essere incrociate con quelle dell’art. 2428 c.c. (relazione sulla gestione) il quale dispone che gli amministratori devono dare "una descrizione dei principali rischi e incertezze cui la società è esposta" e che il primo rischio a cui una società può essere esposta è il rischio di default e che quindi le disposizioni normative sopra articolate, non solo obbligano gli amministratori ad istituire un monitoraggio, ma anche a dare comunicazione, nella relazione sulla gestione, e laddove essa non sia obbligatoria, nella nota integrativa al bilancio,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 xml:space="preserve">sia dell’esistenza degli adeguati assetti che dei risultati dell’attività di monitoraggio. </w:t>
      </w:r>
    </w:p>
    <w:p w14:paraId="34EEA8AD" w14:textId="5642711A" w:rsidR="00A25375" w:rsidRDefault="00000000">
      <w:pPr>
        <w:widowControl w:val="0"/>
        <w:spacing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t>Che</w:t>
      </w:r>
      <w:r>
        <w:rPr>
          <w:rFonts w:ascii="Tahoma" w:eastAsia="Tahoma" w:hAnsi="Tahoma" w:cs="Tahoma"/>
          <w:color w:val="666666"/>
          <w:sz w:val="22"/>
          <w:szCs w:val="22"/>
        </w:rPr>
        <w:t xml:space="preserve"> le scienze aziendali deducono che il controllo del rischio di default non può essere assolto facendo riferimento solo ad anomali andamenti dei principali indici di bilancio </w:t>
      </w:r>
      <w:proofErr w:type="spellStart"/>
      <w:r>
        <w:rPr>
          <w:rFonts w:ascii="Tahoma" w:eastAsia="Tahoma" w:hAnsi="Tahoma" w:cs="Tahoma"/>
          <w:color w:val="666666"/>
          <w:sz w:val="22"/>
          <w:szCs w:val="22"/>
        </w:rPr>
        <w:t>perchè</w:t>
      </w:r>
      <w:proofErr w:type="spellEnd"/>
      <w:r>
        <w:rPr>
          <w:rFonts w:ascii="Tahoma" w:eastAsia="Tahoma" w:hAnsi="Tahoma" w:cs="Tahoma"/>
          <w:color w:val="666666"/>
          <w:sz w:val="22"/>
          <w:szCs w:val="22"/>
        </w:rPr>
        <w:t xml:space="preserve"> un siffatto metodo di analisi non risulta conforme al dettato normativo e rischia di giungere alla segnalazione di squilibri in modo a volte estremamente tardivo;</w:t>
      </w:r>
    </w:p>
    <w:p w14:paraId="42C9BCEE" w14:textId="26A1FE7D" w:rsidR="00A25375" w:rsidRDefault="00000000">
      <w:pPr>
        <w:widowControl w:val="0"/>
        <w:spacing w:before="101" w:line="271" w:lineRule="auto"/>
        <w:ind w:right="-40"/>
        <w:jc w:val="both"/>
        <w:rPr>
          <w:rFonts w:ascii="Tahoma" w:eastAsia="Tahoma" w:hAnsi="Tahoma" w:cs="Tahoma"/>
          <w:color w:val="666666"/>
          <w:sz w:val="22"/>
          <w:szCs w:val="22"/>
        </w:rPr>
      </w:pPr>
      <w:r>
        <w:rPr>
          <w:rFonts w:ascii="Tahoma" w:eastAsia="Tahoma" w:hAnsi="Tahoma" w:cs="Tahoma"/>
          <w:b/>
          <w:color w:val="666666"/>
          <w:sz w:val="22"/>
          <w:szCs w:val="22"/>
        </w:rPr>
        <w:t>Che</w:t>
      </w:r>
      <w:r>
        <w:rPr>
          <w:rFonts w:ascii="Tahoma" w:eastAsia="Tahoma" w:hAnsi="Tahoma" w:cs="Tahoma"/>
          <w:color w:val="666666"/>
          <w:sz w:val="22"/>
          <w:szCs w:val="22"/>
        </w:rPr>
        <w:t xml:space="preserve"> in conclusione il legislatore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obbliga a</w:t>
      </w:r>
      <w:r w:rsidR="00082ED6">
        <w:rPr>
          <w:rFonts w:ascii="Tahoma" w:eastAsia="Tahoma" w:hAnsi="Tahoma" w:cs="Tahoma"/>
          <w:color w:val="666666"/>
          <w:sz w:val="22"/>
          <w:szCs w:val="22"/>
        </w:rPr>
        <w:t xml:space="preserve"> </w:t>
      </w:r>
      <w:r>
        <w:rPr>
          <w:rFonts w:ascii="Tahoma" w:eastAsia="Tahoma" w:hAnsi="Tahoma" w:cs="Tahoma"/>
          <w:color w:val="666666"/>
          <w:sz w:val="22"/>
          <w:szCs w:val="22"/>
        </w:rPr>
        <w:t>monitorare elementi che sono principalmente di carattere qualitativo e fa riferimento al controllo mediante una serie di KPI, così come indicato dalla check list richiamata dalla lettera c) del comma 3 dell’art. 3 del D.lgs. 14/19 di cui si riporta qui un piccolo esempio concernente due delle oltre 50 domande poste dalla check list, in modo da capire la portata nuova e rivoluzionaria della disposizione:</w:t>
      </w:r>
    </w:p>
    <w:p w14:paraId="5061C642" w14:textId="77777777" w:rsidR="00A25375" w:rsidRDefault="00000000">
      <w:pPr>
        <w:widowControl w:val="0"/>
        <w:numPr>
          <w:ilvl w:val="0"/>
          <w:numId w:val="2"/>
        </w:numPr>
        <w:spacing w:before="222" w:line="283" w:lineRule="auto"/>
        <w:ind w:right="-40"/>
        <w:jc w:val="both"/>
        <w:rPr>
          <w:rFonts w:ascii="Verdana" w:eastAsia="Verdana" w:hAnsi="Verdana" w:cs="Verdana"/>
          <w:i/>
          <w:color w:val="666666"/>
          <w:sz w:val="22"/>
          <w:szCs w:val="22"/>
        </w:rPr>
      </w:pPr>
      <w:r>
        <w:rPr>
          <w:rFonts w:ascii="Verdana" w:eastAsia="Verdana" w:hAnsi="Verdana" w:cs="Verdana"/>
          <w:b/>
          <w:i/>
          <w:color w:val="666666"/>
          <w:sz w:val="22"/>
          <w:szCs w:val="22"/>
        </w:rPr>
        <w:t>Domanda 1.3</w:t>
      </w:r>
      <w:r>
        <w:rPr>
          <w:rFonts w:ascii="Verdana" w:eastAsia="Verdana" w:hAnsi="Verdana" w:cs="Verdana"/>
          <w:i/>
          <w:color w:val="666666"/>
          <w:sz w:val="22"/>
          <w:szCs w:val="22"/>
        </w:rPr>
        <w:t>. L’impresa ha predisposto un monitoraggio continuativo dell’andamento aziendale?</w:t>
      </w:r>
    </w:p>
    <w:p w14:paraId="51FFBCF9" w14:textId="2FACC0E0" w:rsidR="00A25375" w:rsidRDefault="00000000">
      <w:pPr>
        <w:widowControl w:val="0"/>
        <w:numPr>
          <w:ilvl w:val="0"/>
          <w:numId w:val="2"/>
        </w:numPr>
        <w:spacing w:line="283" w:lineRule="auto"/>
        <w:ind w:right="-40"/>
        <w:jc w:val="both"/>
        <w:rPr>
          <w:rFonts w:ascii="Verdana" w:eastAsia="Verdana" w:hAnsi="Verdana" w:cs="Verdana"/>
          <w:i/>
          <w:color w:val="666666"/>
          <w:sz w:val="22"/>
          <w:szCs w:val="22"/>
        </w:rPr>
      </w:pPr>
      <w:r>
        <w:rPr>
          <w:rFonts w:ascii="Verdana" w:eastAsia="Verdana" w:hAnsi="Verdana" w:cs="Verdana"/>
          <w:b/>
          <w:i/>
          <w:color w:val="666666"/>
          <w:sz w:val="22"/>
          <w:szCs w:val="22"/>
        </w:rPr>
        <w:t xml:space="preserve">Domanda 1.4 </w:t>
      </w:r>
      <w:r>
        <w:rPr>
          <w:rFonts w:ascii="Verdana" w:eastAsia="Verdana" w:hAnsi="Verdana" w:cs="Verdana"/>
          <w:i/>
          <w:color w:val="666666"/>
          <w:sz w:val="22"/>
          <w:szCs w:val="22"/>
        </w:rPr>
        <w:t>L’impresa è in grado di stimare l’andamento gestionale</w:t>
      </w:r>
      <w:r w:rsidR="00082ED6">
        <w:rPr>
          <w:rFonts w:ascii="Verdana" w:eastAsia="Verdana" w:hAnsi="Verdana" w:cs="Verdana"/>
          <w:i/>
          <w:color w:val="666666"/>
          <w:sz w:val="22"/>
          <w:szCs w:val="22"/>
        </w:rPr>
        <w:t xml:space="preserve"> </w:t>
      </w:r>
      <w:r>
        <w:rPr>
          <w:rFonts w:ascii="Verdana" w:eastAsia="Verdana" w:hAnsi="Verdana" w:cs="Verdana"/>
          <w:i/>
          <w:color w:val="666666"/>
          <w:sz w:val="22"/>
          <w:szCs w:val="22"/>
        </w:rPr>
        <w:t>anche ricorrendo ad indicatori chiave gestionali (KPI) che consentano valutazioni rapide in continuo?</w:t>
      </w:r>
    </w:p>
    <w:p w14:paraId="5B0184FB" w14:textId="77777777" w:rsidR="00A25375" w:rsidRDefault="00A25375">
      <w:pPr>
        <w:widowControl w:val="0"/>
        <w:spacing w:line="276" w:lineRule="auto"/>
        <w:ind w:left="317" w:right="-40"/>
        <w:jc w:val="both"/>
        <w:rPr>
          <w:rFonts w:ascii="Tahoma" w:eastAsia="Tahoma" w:hAnsi="Tahoma" w:cs="Tahoma"/>
          <w:color w:val="666666"/>
          <w:sz w:val="22"/>
          <w:szCs w:val="22"/>
        </w:rPr>
      </w:pPr>
    </w:p>
    <w:p w14:paraId="645779EE" w14:textId="72CFA931" w:rsidR="00A25375" w:rsidRDefault="00000000">
      <w:pPr>
        <w:widowControl w:val="0"/>
        <w:spacing w:line="480" w:lineRule="auto"/>
        <w:ind w:right="-40"/>
        <w:jc w:val="both"/>
        <w:rPr>
          <w:rFonts w:ascii="Arimo" w:eastAsia="Arimo" w:hAnsi="Arimo" w:cs="Arimo"/>
          <w:b/>
          <w:color w:val="666666"/>
          <w:sz w:val="22"/>
          <w:szCs w:val="22"/>
        </w:rPr>
      </w:pPr>
      <w:r>
        <w:rPr>
          <w:rFonts w:ascii="Tahoma" w:eastAsia="Tahoma" w:hAnsi="Tahoma" w:cs="Tahoma"/>
          <w:color w:val="666666"/>
          <w:sz w:val="22"/>
          <w:szCs w:val="22"/>
        </w:rPr>
        <w:t>Tutto ciò premesso, sulla base delle disposizioni dell’art. 2381 comma 5, già in precedenza citate, questo Studio (nome studio): _____________________________________________</w:t>
      </w:r>
    </w:p>
    <w:p w14:paraId="0AED9D1F" w14:textId="77777777" w:rsidR="00A25375" w:rsidRDefault="00A25375">
      <w:pPr>
        <w:widowControl w:val="0"/>
        <w:ind w:right="-40"/>
        <w:jc w:val="both"/>
        <w:rPr>
          <w:rFonts w:ascii="Arimo" w:eastAsia="Arimo" w:hAnsi="Arimo" w:cs="Arimo"/>
          <w:color w:val="666666"/>
          <w:sz w:val="22"/>
          <w:szCs w:val="22"/>
        </w:rPr>
      </w:pPr>
    </w:p>
    <w:p w14:paraId="58B152D3" w14:textId="77777777" w:rsidR="00A25375" w:rsidRDefault="00A25375">
      <w:pPr>
        <w:widowControl w:val="0"/>
        <w:spacing w:line="271" w:lineRule="auto"/>
        <w:ind w:right="-40"/>
        <w:jc w:val="center"/>
        <w:rPr>
          <w:rFonts w:ascii="Tahoma" w:eastAsia="Tahoma" w:hAnsi="Tahoma" w:cs="Tahoma"/>
          <w:b/>
          <w:color w:val="C4A577"/>
          <w:sz w:val="22"/>
          <w:szCs w:val="22"/>
        </w:rPr>
      </w:pPr>
    </w:p>
    <w:p w14:paraId="25C35B12" w14:textId="77777777" w:rsidR="00A25375" w:rsidRDefault="00A25375">
      <w:pPr>
        <w:widowControl w:val="0"/>
        <w:spacing w:line="271" w:lineRule="auto"/>
        <w:ind w:right="-40"/>
        <w:jc w:val="center"/>
        <w:rPr>
          <w:rFonts w:ascii="Tahoma" w:eastAsia="Tahoma" w:hAnsi="Tahoma" w:cs="Tahoma"/>
          <w:b/>
          <w:color w:val="C4A577"/>
          <w:sz w:val="22"/>
          <w:szCs w:val="22"/>
        </w:rPr>
      </w:pPr>
    </w:p>
    <w:p w14:paraId="52898307" w14:textId="77777777" w:rsidR="00A25375" w:rsidRDefault="00A25375">
      <w:pPr>
        <w:widowControl w:val="0"/>
        <w:spacing w:line="271" w:lineRule="auto"/>
        <w:ind w:right="-40"/>
        <w:jc w:val="center"/>
        <w:rPr>
          <w:rFonts w:ascii="Tahoma" w:eastAsia="Tahoma" w:hAnsi="Tahoma" w:cs="Tahoma"/>
          <w:b/>
          <w:color w:val="C4A577"/>
          <w:sz w:val="22"/>
          <w:szCs w:val="22"/>
        </w:rPr>
      </w:pPr>
    </w:p>
    <w:p w14:paraId="007473F2" w14:textId="77777777" w:rsidR="00A25375" w:rsidRDefault="00A25375">
      <w:pPr>
        <w:widowControl w:val="0"/>
        <w:spacing w:line="271" w:lineRule="auto"/>
        <w:ind w:right="-40"/>
        <w:jc w:val="center"/>
        <w:rPr>
          <w:rFonts w:ascii="Tahoma" w:eastAsia="Tahoma" w:hAnsi="Tahoma" w:cs="Tahoma"/>
          <w:b/>
          <w:color w:val="C4A577"/>
          <w:sz w:val="22"/>
          <w:szCs w:val="22"/>
        </w:rPr>
      </w:pPr>
    </w:p>
    <w:p w14:paraId="0E90BA92" w14:textId="77777777" w:rsidR="00A25375" w:rsidRDefault="00000000">
      <w:pPr>
        <w:widowControl w:val="0"/>
        <w:spacing w:line="271" w:lineRule="auto"/>
        <w:ind w:right="-40"/>
        <w:jc w:val="center"/>
        <w:rPr>
          <w:rFonts w:ascii="Tahoma" w:eastAsia="Tahoma" w:hAnsi="Tahoma" w:cs="Tahoma"/>
          <w:b/>
          <w:color w:val="C4A577"/>
          <w:sz w:val="22"/>
          <w:szCs w:val="22"/>
        </w:rPr>
      </w:pPr>
      <w:r>
        <w:rPr>
          <w:rFonts w:ascii="Tahoma" w:eastAsia="Tahoma" w:hAnsi="Tahoma" w:cs="Tahoma"/>
          <w:b/>
          <w:color w:val="C4A577"/>
          <w:sz w:val="22"/>
          <w:szCs w:val="22"/>
        </w:rPr>
        <w:t>Informa</w:t>
      </w:r>
    </w:p>
    <w:p w14:paraId="61523A98" w14:textId="77777777" w:rsidR="00A25375" w:rsidRDefault="00A25375">
      <w:pPr>
        <w:widowControl w:val="0"/>
        <w:spacing w:line="271" w:lineRule="auto"/>
        <w:ind w:right="-40"/>
        <w:jc w:val="center"/>
        <w:rPr>
          <w:rFonts w:ascii="Tahoma" w:eastAsia="Tahoma" w:hAnsi="Tahoma" w:cs="Tahoma"/>
          <w:b/>
          <w:color w:val="C4A577"/>
          <w:sz w:val="22"/>
          <w:szCs w:val="22"/>
        </w:rPr>
      </w:pPr>
    </w:p>
    <w:p w14:paraId="2A9ED078" w14:textId="77777777" w:rsidR="00A25375" w:rsidRDefault="00000000">
      <w:pPr>
        <w:widowControl w:val="0"/>
        <w:spacing w:line="480" w:lineRule="auto"/>
        <w:ind w:right="-40"/>
        <w:jc w:val="both"/>
        <w:rPr>
          <w:rFonts w:ascii="Tahoma" w:eastAsia="Tahoma" w:hAnsi="Tahoma" w:cs="Tahoma"/>
          <w:color w:val="666666"/>
          <w:sz w:val="22"/>
          <w:szCs w:val="22"/>
        </w:rPr>
      </w:pPr>
      <w:r>
        <w:rPr>
          <w:rFonts w:ascii="Tahoma" w:eastAsia="Tahoma" w:hAnsi="Tahoma" w:cs="Tahoma"/>
          <w:color w:val="666666"/>
          <w:sz w:val="22"/>
          <w:szCs w:val="22"/>
        </w:rPr>
        <w:t xml:space="preserve">il Sig. (nome): _________________________ Cognome): ___________________________ </w:t>
      </w:r>
    </w:p>
    <w:p w14:paraId="29B05553" w14:textId="239ABDE7" w:rsidR="00A25375" w:rsidRDefault="00000000">
      <w:pPr>
        <w:widowControl w:val="0"/>
        <w:spacing w:line="480" w:lineRule="auto"/>
        <w:ind w:right="-40"/>
        <w:jc w:val="both"/>
        <w:rPr>
          <w:rFonts w:ascii="Tahoma" w:eastAsia="Tahoma" w:hAnsi="Tahoma" w:cs="Tahoma"/>
          <w:b/>
          <w:color w:val="666666"/>
          <w:sz w:val="22"/>
          <w:szCs w:val="22"/>
        </w:rPr>
      </w:pPr>
      <w:r>
        <w:rPr>
          <w:rFonts w:ascii="Tahoma" w:eastAsia="Tahoma" w:hAnsi="Tahoma" w:cs="Tahoma"/>
          <w:color w:val="666666"/>
          <w:sz w:val="22"/>
          <w:szCs w:val="22"/>
        </w:rPr>
        <w:t xml:space="preserve">legale rappresentante della (Società): ____________________________________________, che fornire informazioni di questa natura è un preciso dovere soprattutto per le società, sia S.p.a. che S.r.l. e </w:t>
      </w:r>
    </w:p>
    <w:p w14:paraId="6CC620CC" w14:textId="77777777" w:rsidR="00A25375" w:rsidRDefault="00000000">
      <w:pPr>
        <w:widowControl w:val="0"/>
        <w:ind w:right="-40"/>
        <w:jc w:val="center"/>
        <w:rPr>
          <w:rFonts w:ascii="Tahoma" w:eastAsia="Tahoma" w:hAnsi="Tahoma" w:cs="Tahoma"/>
          <w:b/>
          <w:color w:val="C4A577"/>
          <w:sz w:val="22"/>
          <w:szCs w:val="22"/>
        </w:rPr>
      </w:pPr>
      <w:r>
        <w:rPr>
          <w:rFonts w:ascii="Tahoma" w:eastAsia="Tahoma" w:hAnsi="Tahoma" w:cs="Tahoma"/>
          <w:b/>
          <w:color w:val="C4A577"/>
          <w:sz w:val="22"/>
          <w:szCs w:val="22"/>
        </w:rPr>
        <w:t>Comunica che:</w:t>
      </w:r>
    </w:p>
    <w:p w14:paraId="07E5358A" w14:textId="77777777" w:rsidR="00A25375" w:rsidRDefault="00A25375">
      <w:pPr>
        <w:widowControl w:val="0"/>
        <w:ind w:right="-40"/>
        <w:jc w:val="center"/>
        <w:rPr>
          <w:rFonts w:ascii="Tahoma" w:eastAsia="Tahoma" w:hAnsi="Tahoma" w:cs="Tahoma"/>
          <w:b/>
          <w:color w:val="666666"/>
          <w:sz w:val="22"/>
          <w:szCs w:val="22"/>
        </w:rPr>
      </w:pPr>
    </w:p>
    <w:p w14:paraId="7F439352" w14:textId="3331E609"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t>l’informativa</w:t>
      </w:r>
      <w:r w:rsidR="00082ED6">
        <w:rPr>
          <w:rFonts w:ascii="Tahoma" w:eastAsia="Tahoma" w:hAnsi="Tahoma" w:cs="Tahoma"/>
          <w:color w:val="666666"/>
          <w:sz w:val="22"/>
          <w:szCs w:val="22"/>
        </w:rPr>
        <w:t xml:space="preserve"> </w:t>
      </w:r>
      <w:r>
        <w:rPr>
          <w:rFonts w:ascii="Tahoma" w:eastAsia="Tahoma" w:hAnsi="Tahoma" w:cs="Tahoma"/>
          <w:color w:val="666666"/>
          <w:sz w:val="22"/>
          <w:szCs w:val="22"/>
        </w:rPr>
        <w:t>prevista dall’art. 2381 comma 5 relativa al primo semestre di ciascun anno va formalizzata con verbale apposito da trascrivere nel</w:t>
      </w:r>
      <w:r w:rsidR="00082ED6">
        <w:rPr>
          <w:rFonts w:ascii="Tahoma" w:eastAsia="Tahoma" w:hAnsi="Tahoma" w:cs="Tahoma"/>
          <w:color w:val="666666"/>
          <w:sz w:val="22"/>
          <w:szCs w:val="22"/>
        </w:rPr>
        <w:t xml:space="preserve"> </w:t>
      </w:r>
      <w:r>
        <w:rPr>
          <w:rFonts w:ascii="Tahoma" w:eastAsia="Tahoma" w:hAnsi="Tahoma" w:cs="Tahoma"/>
          <w:color w:val="666666"/>
          <w:sz w:val="22"/>
          <w:szCs w:val="22"/>
        </w:rPr>
        <w:t>libro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delle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adunanze del Consiglio di Amministrazione generalmente entro il 30 settembre di ogni anno;</w:t>
      </w:r>
    </w:p>
    <w:p w14:paraId="5E77A6BA" w14:textId="77777777" w:rsidR="00A25375" w:rsidRDefault="00A25375">
      <w:pPr>
        <w:widowControl w:val="0"/>
        <w:ind w:left="720" w:right="-40"/>
        <w:jc w:val="both"/>
        <w:rPr>
          <w:rFonts w:ascii="Tahoma" w:eastAsia="Tahoma" w:hAnsi="Tahoma" w:cs="Tahoma"/>
          <w:color w:val="666666"/>
          <w:sz w:val="22"/>
          <w:szCs w:val="22"/>
        </w:rPr>
      </w:pPr>
    </w:p>
    <w:p w14:paraId="2F4403D0" w14:textId="2CDE4B52"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t>l’informativa relativa al secondo semestre di ciascun anno potrà essere invece fornita nella relazione sulla gestione del bilancio annuale. In caso di bilancio abbreviato,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con conseguente esonero della relazione sulla gestione, l’informativa potrà essere fornita nel verbale del CDA che approva il progetto di bilancio annuale oltre che all’interno della nota integrativa;</w:t>
      </w:r>
    </w:p>
    <w:p w14:paraId="5F531F06" w14:textId="77777777" w:rsidR="00A25375" w:rsidRDefault="00A25375">
      <w:pPr>
        <w:widowControl w:val="0"/>
        <w:ind w:left="720" w:right="137"/>
        <w:jc w:val="both"/>
        <w:rPr>
          <w:rFonts w:ascii="Tahoma" w:eastAsia="Tahoma" w:hAnsi="Tahoma" w:cs="Tahoma"/>
          <w:color w:val="666666"/>
          <w:sz w:val="22"/>
          <w:szCs w:val="22"/>
        </w:rPr>
      </w:pPr>
    </w:p>
    <w:p w14:paraId="12DA0891" w14:textId="7DF27F34"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t>le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informazioni,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come detto in precedenza, devono essere complete e dettagliate e non possono essere rilasciate senza fare riferimento a valutazioni e misurazioni specifiche;</w:t>
      </w:r>
    </w:p>
    <w:p w14:paraId="51875EEB" w14:textId="77777777" w:rsidR="00A25375" w:rsidRDefault="00A25375">
      <w:pPr>
        <w:widowControl w:val="0"/>
        <w:ind w:left="720" w:right="-40"/>
        <w:jc w:val="both"/>
        <w:rPr>
          <w:rFonts w:ascii="Tahoma" w:eastAsia="Tahoma" w:hAnsi="Tahoma" w:cs="Tahoma"/>
          <w:color w:val="666666"/>
          <w:sz w:val="22"/>
          <w:szCs w:val="22"/>
        </w:rPr>
      </w:pPr>
    </w:p>
    <w:p w14:paraId="515138B5" w14:textId="5326FE25"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t>gli amministratori delle società di minori dimensioni, sono tenute a rispettare le disposizioni del 2086 comma 2, vale a dire l’istituzione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adeguati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assetti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e la misurazione della continuità aziendale, non possono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non</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dare notizia dell’assolvimento di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detto obbligo in nota integrativa in modo chiaro e completo;</w:t>
      </w:r>
    </w:p>
    <w:p w14:paraId="33F961B4" w14:textId="77777777" w:rsidR="00A25375" w:rsidRDefault="00A25375">
      <w:pPr>
        <w:widowControl w:val="0"/>
        <w:ind w:left="720" w:right="-40"/>
        <w:jc w:val="both"/>
        <w:rPr>
          <w:rFonts w:ascii="Tahoma" w:eastAsia="Tahoma" w:hAnsi="Tahoma" w:cs="Tahoma"/>
          <w:color w:val="666666"/>
          <w:sz w:val="22"/>
          <w:szCs w:val="22"/>
        </w:rPr>
      </w:pPr>
    </w:p>
    <w:p w14:paraId="01260A17" w14:textId="77777777"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t>pertanto nella nota integrativa non potrà bastare una semplice locuzione generica quale “Gli amministratori (o l'amministratore) dichiarano che sono stati istituiti adeguati assetti organizzativi, amministrativi e contabili e che esiste continuità aziendale”;</w:t>
      </w:r>
    </w:p>
    <w:p w14:paraId="2B5DC3B6" w14:textId="77777777" w:rsidR="00A25375" w:rsidRDefault="00A25375">
      <w:pPr>
        <w:widowControl w:val="0"/>
        <w:ind w:left="720" w:right="-40"/>
        <w:jc w:val="both"/>
        <w:rPr>
          <w:rFonts w:ascii="Tahoma" w:eastAsia="Tahoma" w:hAnsi="Tahoma" w:cs="Tahoma"/>
          <w:color w:val="666666"/>
          <w:sz w:val="22"/>
          <w:szCs w:val="22"/>
        </w:rPr>
      </w:pPr>
    </w:p>
    <w:p w14:paraId="4729EF2A" w14:textId="77777777"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t>appare del tutto evidente che una siffatta dichiarazione sarebbe del tutto inadeguata e soprattutto FALSA, laddove non fosse effettivamente istituita un’adeguata attività di misurazione e monitoraggio degli adeguati assetti amministrativi, organizzativi e contabili;</w:t>
      </w:r>
    </w:p>
    <w:p w14:paraId="2EC8FFA1" w14:textId="77777777" w:rsidR="00A25375" w:rsidRDefault="00A25375">
      <w:pPr>
        <w:widowControl w:val="0"/>
        <w:ind w:left="720" w:right="-40"/>
        <w:jc w:val="both"/>
        <w:rPr>
          <w:rFonts w:ascii="Tahoma" w:eastAsia="Tahoma" w:hAnsi="Tahoma" w:cs="Tahoma"/>
          <w:color w:val="666666"/>
          <w:sz w:val="22"/>
          <w:szCs w:val="22"/>
        </w:rPr>
      </w:pPr>
    </w:p>
    <w:p w14:paraId="70038BB7" w14:textId="522B28FC" w:rsidR="00A25375" w:rsidRDefault="00000000">
      <w:pPr>
        <w:widowControl w:val="0"/>
        <w:numPr>
          <w:ilvl w:val="0"/>
          <w:numId w:val="1"/>
        </w:numPr>
        <w:ind w:right="-40"/>
        <w:jc w:val="both"/>
        <w:rPr>
          <w:rFonts w:ascii="Tahoma" w:eastAsia="Tahoma" w:hAnsi="Tahoma" w:cs="Tahoma"/>
          <w:color w:val="666666"/>
          <w:sz w:val="22"/>
          <w:szCs w:val="22"/>
        </w:rPr>
      </w:pPr>
      <w:r>
        <w:rPr>
          <w:rFonts w:ascii="Tahoma" w:eastAsia="Tahoma" w:hAnsi="Tahoma" w:cs="Tahoma"/>
          <w:color w:val="666666"/>
          <w:sz w:val="22"/>
          <w:szCs w:val="22"/>
        </w:rPr>
        <w:lastRenderedPageBreak/>
        <w:t>a sostegno di tali argomentazioni si fa riferimento ad uno orientamento giurisprudenziale oramai consolidato culminato recentemente nella Ordinanza della Suprema Corte di Cassazione Nr. 2172 del 24 gennaio 2023 e che una perfetta sintesi di tale orientamento giurisprudenziale, e di quanto i giudici</w:t>
      </w:r>
      <w:r w:rsidR="00082ED6">
        <w:rPr>
          <w:rFonts w:ascii="Tahoma" w:eastAsia="Tahoma" w:hAnsi="Tahoma" w:cs="Tahoma"/>
          <w:color w:val="666666"/>
          <w:sz w:val="22"/>
          <w:szCs w:val="22"/>
        </w:rPr>
        <w:t xml:space="preserve"> </w:t>
      </w:r>
      <w:r>
        <w:rPr>
          <w:rFonts w:ascii="Tahoma" w:eastAsia="Tahoma" w:hAnsi="Tahoma" w:cs="Tahoma"/>
          <w:color w:val="666666"/>
          <w:sz w:val="22"/>
          <w:szCs w:val="22"/>
        </w:rPr>
        <w:t>ritengano</w:t>
      </w:r>
      <w:r w:rsidR="00082ED6">
        <w:rPr>
          <w:rFonts w:ascii="Tahoma" w:eastAsia="Tahoma" w:hAnsi="Tahoma" w:cs="Tahoma"/>
          <w:color w:val="666666"/>
          <w:sz w:val="22"/>
          <w:szCs w:val="22"/>
        </w:rPr>
        <w:t xml:space="preserve"> </w:t>
      </w:r>
      <w:r>
        <w:rPr>
          <w:rFonts w:ascii="Tahoma" w:eastAsia="Tahoma" w:hAnsi="Tahoma" w:cs="Tahoma"/>
          <w:color w:val="666666"/>
          <w:sz w:val="22"/>
          <w:szCs w:val="22"/>
        </w:rPr>
        <w:t>importante la presenza di adeguati assetti in azienda è inserita nella sentenza del Tribunale di Cagliari che ha esautorato degli amministratori INDOLENTI di una società</w:t>
      </w:r>
      <w:r w:rsidR="00082ED6">
        <w:rPr>
          <w:rFonts w:ascii="Tahoma" w:eastAsia="Tahoma" w:hAnsi="Tahoma" w:cs="Tahoma"/>
          <w:color w:val="666666"/>
          <w:sz w:val="22"/>
          <w:szCs w:val="22"/>
        </w:rPr>
        <w:t xml:space="preserve"> </w:t>
      </w:r>
      <w:r>
        <w:rPr>
          <w:rFonts w:ascii="Tahoma" w:eastAsia="Tahoma" w:hAnsi="Tahoma" w:cs="Tahoma"/>
          <w:color w:val="666666"/>
          <w:sz w:val="22"/>
          <w:szCs w:val="22"/>
        </w:rPr>
        <w:t xml:space="preserve">cooperativa, per di più in “in bonis” e non in crisi e che i Giudici giustificano la decisione con la necessità di preservare l’integrità aziendale dall’incapacità degli amministratori. </w:t>
      </w:r>
    </w:p>
    <w:p w14:paraId="5313EF94" w14:textId="77777777" w:rsidR="00A25375" w:rsidRDefault="00A25375">
      <w:pPr>
        <w:widowControl w:val="0"/>
        <w:spacing w:line="271" w:lineRule="auto"/>
        <w:ind w:left="720" w:right="-40"/>
        <w:jc w:val="both"/>
        <w:rPr>
          <w:rFonts w:ascii="Tahoma" w:eastAsia="Tahoma" w:hAnsi="Tahoma" w:cs="Tahoma"/>
          <w:color w:val="666666"/>
          <w:sz w:val="22"/>
          <w:szCs w:val="22"/>
        </w:rPr>
      </w:pPr>
    </w:p>
    <w:p w14:paraId="3EDAE399" w14:textId="77777777" w:rsidR="00A25375" w:rsidRDefault="00A25375">
      <w:pPr>
        <w:widowControl w:val="0"/>
        <w:spacing w:line="271" w:lineRule="auto"/>
        <w:ind w:right="-40"/>
        <w:jc w:val="both"/>
        <w:rPr>
          <w:rFonts w:ascii="Tahoma" w:eastAsia="Tahoma" w:hAnsi="Tahoma" w:cs="Tahoma"/>
          <w:color w:val="666666"/>
          <w:sz w:val="22"/>
          <w:szCs w:val="22"/>
        </w:rPr>
      </w:pPr>
    </w:p>
    <w:p w14:paraId="6E5A2E75" w14:textId="77777777" w:rsidR="00A25375" w:rsidRDefault="00A25375">
      <w:pPr>
        <w:widowControl w:val="0"/>
        <w:spacing w:line="271" w:lineRule="auto"/>
        <w:ind w:right="-40"/>
        <w:jc w:val="both"/>
        <w:rPr>
          <w:rFonts w:ascii="Tahoma" w:eastAsia="Tahoma" w:hAnsi="Tahoma" w:cs="Tahoma"/>
          <w:color w:val="666666"/>
          <w:sz w:val="22"/>
          <w:szCs w:val="22"/>
        </w:rPr>
      </w:pPr>
    </w:p>
    <w:p w14:paraId="14B54275" w14:textId="77777777" w:rsidR="00A25375" w:rsidRDefault="00000000">
      <w:pPr>
        <w:widowControl w:val="0"/>
        <w:spacing w:line="271" w:lineRule="auto"/>
        <w:ind w:right="-40"/>
        <w:jc w:val="both"/>
        <w:rPr>
          <w:rFonts w:ascii="Tahoma" w:eastAsia="Tahoma" w:hAnsi="Tahoma" w:cs="Tahoma"/>
          <w:color w:val="666666"/>
          <w:sz w:val="22"/>
          <w:szCs w:val="22"/>
        </w:rPr>
      </w:pPr>
      <w:r>
        <w:rPr>
          <w:rFonts w:ascii="Tahoma" w:eastAsia="Tahoma" w:hAnsi="Tahoma" w:cs="Tahoma"/>
          <w:color w:val="666666"/>
          <w:sz w:val="22"/>
          <w:szCs w:val="22"/>
        </w:rPr>
        <w:t xml:space="preserve">Per tutte le ragioni di cui sopra il sottoscritto </w:t>
      </w:r>
    </w:p>
    <w:p w14:paraId="08C3310A" w14:textId="77777777" w:rsidR="00A25375" w:rsidRDefault="00A25375">
      <w:pPr>
        <w:widowControl w:val="0"/>
        <w:spacing w:line="271" w:lineRule="auto"/>
        <w:ind w:right="-40"/>
        <w:jc w:val="both"/>
        <w:rPr>
          <w:rFonts w:ascii="Tahoma" w:eastAsia="Tahoma" w:hAnsi="Tahoma" w:cs="Tahoma"/>
          <w:color w:val="666666"/>
          <w:sz w:val="22"/>
          <w:szCs w:val="22"/>
        </w:rPr>
      </w:pPr>
    </w:p>
    <w:p w14:paraId="433CF864" w14:textId="11702573" w:rsidR="00A25375" w:rsidRDefault="00000000">
      <w:pPr>
        <w:widowControl w:val="0"/>
        <w:spacing w:line="271" w:lineRule="auto"/>
        <w:ind w:right="-40"/>
        <w:jc w:val="both"/>
        <w:rPr>
          <w:rFonts w:ascii="Times New Roman" w:eastAsia="Times New Roman" w:hAnsi="Times New Roman" w:cs="Times New Roman"/>
          <w:color w:val="666666"/>
          <w:sz w:val="22"/>
          <w:szCs w:val="22"/>
        </w:rPr>
      </w:pPr>
      <w:r>
        <w:rPr>
          <w:rFonts w:ascii="Tahoma" w:eastAsia="Tahoma" w:hAnsi="Tahoma" w:cs="Tahoma"/>
          <w:color w:val="666666"/>
          <w:sz w:val="22"/>
          <w:szCs w:val="22"/>
        </w:rPr>
        <w:t>(Nome</w:t>
      </w:r>
      <w:proofErr w:type="gramStart"/>
      <w:r>
        <w:rPr>
          <w:rFonts w:ascii="Tahoma" w:eastAsia="Tahoma" w:hAnsi="Tahoma" w:cs="Tahoma"/>
          <w:color w:val="666666"/>
          <w:sz w:val="22"/>
          <w:szCs w:val="22"/>
        </w:rPr>
        <w:t>):</w:t>
      </w:r>
      <w:r>
        <w:rPr>
          <w:rFonts w:ascii="Times New Roman" w:eastAsia="Times New Roman" w:hAnsi="Times New Roman" w:cs="Times New Roman"/>
          <w:color w:val="666666"/>
          <w:sz w:val="22"/>
          <w:szCs w:val="22"/>
        </w:rPr>
        <w:t>_</w:t>
      </w:r>
      <w:proofErr w:type="gramEnd"/>
      <w:r>
        <w:rPr>
          <w:rFonts w:ascii="Times New Roman" w:eastAsia="Times New Roman" w:hAnsi="Times New Roman" w:cs="Times New Roman"/>
          <w:color w:val="666666"/>
          <w:sz w:val="22"/>
          <w:szCs w:val="22"/>
        </w:rPr>
        <w:t xml:space="preserve">___________________________ </w:t>
      </w:r>
      <w:r>
        <w:rPr>
          <w:rFonts w:ascii="Tahoma" w:eastAsia="Tahoma" w:hAnsi="Tahoma" w:cs="Tahoma"/>
          <w:color w:val="666666"/>
          <w:sz w:val="22"/>
          <w:szCs w:val="22"/>
        </w:rPr>
        <w:t>(Cognome):</w:t>
      </w:r>
      <w:r>
        <w:rPr>
          <w:rFonts w:ascii="Times New Roman" w:eastAsia="Times New Roman" w:hAnsi="Times New Roman" w:cs="Times New Roman"/>
          <w:color w:val="666666"/>
          <w:sz w:val="22"/>
          <w:szCs w:val="22"/>
        </w:rPr>
        <w:t>___________________________________</w:t>
      </w:r>
    </w:p>
    <w:p w14:paraId="1511F12B" w14:textId="77777777" w:rsidR="00A25375" w:rsidRDefault="00A25375">
      <w:pPr>
        <w:widowControl w:val="0"/>
        <w:spacing w:line="271" w:lineRule="auto"/>
        <w:ind w:right="-40"/>
        <w:jc w:val="both"/>
        <w:rPr>
          <w:rFonts w:ascii="Times New Roman" w:eastAsia="Times New Roman" w:hAnsi="Times New Roman" w:cs="Times New Roman"/>
          <w:color w:val="666666"/>
          <w:sz w:val="22"/>
          <w:szCs w:val="22"/>
        </w:rPr>
      </w:pPr>
    </w:p>
    <w:p w14:paraId="6C5DB41E" w14:textId="77777777" w:rsidR="00A25375" w:rsidRDefault="00000000">
      <w:pPr>
        <w:widowControl w:val="0"/>
        <w:spacing w:line="271" w:lineRule="auto"/>
        <w:ind w:right="-40"/>
        <w:jc w:val="both"/>
        <w:rPr>
          <w:rFonts w:ascii="Tahoma" w:eastAsia="Tahoma" w:hAnsi="Tahoma" w:cs="Tahoma"/>
          <w:color w:val="666666"/>
          <w:sz w:val="22"/>
          <w:szCs w:val="22"/>
        </w:rPr>
      </w:pPr>
      <w:r>
        <w:rPr>
          <w:rFonts w:ascii="Tahoma" w:eastAsia="Tahoma" w:hAnsi="Tahoma" w:cs="Tahoma"/>
          <w:color w:val="666666"/>
          <w:sz w:val="22"/>
          <w:szCs w:val="22"/>
        </w:rPr>
        <w:t>legale rappresentante della (società cliente) dopo aver perfettamente compreso e recepito quanto sopra</w:t>
      </w:r>
    </w:p>
    <w:p w14:paraId="61D3D743" w14:textId="77777777" w:rsidR="00A25375" w:rsidRDefault="00A25375">
      <w:pPr>
        <w:widowControl w:val="0"/>
        <w:spacing w:line="271" w:lineRule="auto"/>
        <w:ind w:right="137"/>
        <w:rPr>
          <w:rFonts w:ascii="Tahoma" w:eastAsia="Tahoma" w:hAnsi="Tahoma" w:cs="Tahoma"/>
          <w:b/>
          <w:color w:val="C4A577"/>
          <w:sz w:val="22"/>
          <w:szCs w:val="22"/>
        </w:rPr>
      </w:pPr>
    </w:p>
    <w:p w14:paraId="16F602A1" w14:textId="77777777" w:rsidR="00A25375" w:rsidRPr="00E339AF" w:rsidRDefault="00000000" w:rsidP="00E339AF">
      <w:pPr>
        <w:widowControl w:val="0"/>
        <w:spacing w:line="336" w:lineRule="auto"/>
        <w:ind w:right="136"/>
        <w:jc w:val="center"/>
        <w:rPr>
          <w:rFonts w:ascii="Tahoma" w:eastAsia="Tahoma" w:hAnsi="Tahoma" w:cs="Tahoma"/>
          <w:b/>
          <w:color w:val="C4A577"/>
          <w:sz w:val="22"/>
          <w:szCs w:val="22"/>
        </w:rPr>
      </w:pPr>
      <w:r>
        <w:rPr>
          <w:rFonts w:ascii="Tahoma" w:eastAsia="Tahoma" w:hAnsi="Tahoma" w:cs="Tahoma"/>
          <w:b/>
          <w:color w:val="C4A577"/>
          <w:sz w:val="22"/>
          <w:szCs w:val="22"/>
        </w:rPr>
        <w:t>DICHIARA</w:t>
      </w:r>
    </w:p>
    <w:p w14:paraId="76CF936E" w14:textId="77777777" w:rsidR="00A25375" w:rsidRDefault="00000000" w:rsidP="00E339AF">
      <w:pPr>
        <w:widowControl w:val="0"/>
        <w:spacing w:line="336" w:lineRule="auto"/>
        <w:ind w:right="136"/>
        <w:jc w:val="both"/>
        <w:rPr>
          <w:rFonts w:ascii="Tahoma" w:eastAsia="Tahoma" w:hAnsi="Tahoma" w:cs="Tahoma"/>
          <w:color w:val="666666"/>
          <w:sz w:val="22"/>
          <w:szCs w:val="22"/>
        </w:rPr>
      </w:pPr>
      <w:r>
        <w:rPr>
          <w:rFonts w:ascii="Arial Unicode MS" w:eastAsia="Arial Unicode MS" w:hAnsi="Arial Unicode MS" w:cs="Arial Unicode MS"/>
          <w:color w:val="666666"/>
          <w:sz w:val="32"/>
          <w:szCs w:val="32"/>
        </w:rPr>
        <w:t xml:space="preserve">☐ </w:t>
      </w:r>
      <w:r>
        <w:rPr>
          <w:rFonts w:ascii="Tahoma" w:eastAsia="Tahoma" w:hAnsi="Tahoma" w:cs="Tahoma"/>
          <w:b/>
          <w:color w:val="666666"/>
          <w:sz w:val="22"/>
          <w:szCs w:val="22"/>
        </w:rPr>
        <w:t xml:space="preserve">CHE Intende conferire </w:t>
      </w:r>
      <w:r>
        <w:rPr>
          <w:rFonts w:ascii="Tahoma" w:eastAsia="Tahoma" w:hAnsi="Tahoma" w:cs="Tahoma"/>
          <w:color w:val="666666"/>
          <w:sz w:val="22"/>
          <w:szCs w:val="22"/>
        </w:rPr>
        <w:t xml:space="preserve">alla Studio </w:t>
      </w:r>
    </w:p>
    <w:p w14:paraId="1457E4F7" w14:textId="77777777" w:rsidR="00A25375" w:rsidRDefault="00000000" w:rsidP="00E339AF">
      <w:pPr>
        <w:widowControl w:val="0"/>
        <w:spacing w:line="336" w:lineRule="auto"/>
        <w:ind w:right="136"/>
        <w:jc w:val="both"/>
        <w:rPr>
          <w:rFonts w:ascii="Tahoma" w:eastAsia="Tahoma" w:hAnsi="Tahoma" w:cs="Tahoma"/>
          <w:color w:val="FF00FF"/>
          <w:sz w:val="22"/>
          <w:szCs w:val="22"/>
        </w:rPr>
      </w:pPr>
      <w:r>
        <w:rPr>
          <w:rFonts w:ascii="Tahoma" w:eastAsia="Tahoma" w:hAnsi="Tahoma" w:cs="Tahoma"/>
          <w:color w:val="666666"/>
          <w:sz w:val="22"/>
          <w:szCs w:val="22"/>
        </w:rPr>
        <w:t xml:space="preserve">(nome dello studio): </w:t>
      </w:r>
      <w:r>
        <w:rPr>
          <w:rFonts w:ascii="Times New Roman" w:eastAsia="Times New Roman" w:hAnsi="Times New Roman" w:cs="Times New Roman"/>
          <w:color w:val="666666"/>
          <w:sz w:val="22"/>
          <w:szCs w:val="22"/>
        </w:rPr>
        <w:t>______________________________________________________________</w:t>
      </w:r>
      <w:r>
        <w:rPr>
          <w:rFonts w:ascii="Tahoma" w:eastAsia="Tahoma" w:hAnsi="Tahoma" w:cs="Tahoma"/>
          <w:color w:val="FF00FF"/>
          <w:sz w:val="22"/>
          <w:szCs w:val="22"/>
        </w:rPr>
        <w:t xml:space="preserve"> </w:t>
      </w:r>
    </w:p>
    <w:p w14:paraId="0AF790E8" w14:textId="3811BA52" w:rsidR="00E339AF"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t>l’incarico professionale, nei termini indicati nel contratto allegato alla presente, di misurare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 xml:space="preserve">la presenza degli adeguati assetti organizzativi amministrativi e contabili della Società </w:t>
      </w:r>
    </w:p>
    <w:p w14:paraId="567EB819" w14:textId="77777777" w:rsidR="00A25375" w:rsidRDefault="00000000" w:rsidP="00E339AF">
      <w:pPr>
        <w:widowControl w:val="0"/>
        <w:spacing w:line="336" w:lineRule="auto"/>
        <w:ind w:right="136"/>
        <w:jc w:val="both"/>
        <w:rPr>
          <w:rFonts w:ascii="Times New Roman" w:eastAsia="Times New Roman" w:hAnsi="Times New Roman" w:cs="Times New Roman"/>
          <w:color w:val="666666"/>
          <w:sz w:val="22"/>
          <w:szCs w:val="22"/>
        </w:rPr>
      </w:pPr>
      <w:r>
        <w:rPr>
          <w:rFonts w:ascii="Tahoma" w:eastAsia="Tahoma" w:hAnsi="Tahoma" w:cs="Tahoma"/>
          <w:color w:val="666666"/>
          <w:sz w:val="22"/>
          <w:szCs w:val="22"/>
        </w:rPr>
        <w:t xml:space="preserve">(nome società): </w:t>
      </w:r>
      <w:r>
        <w:rPr>
          <w:rFonts w:ascii="Times New Roman" w:eastAsia="Times New Roman" w:hAnsi="Times New Roman" w:cs="Times New Roman"/>
          <w:color w:val="666666"/>
          <w:sz w:val="22"/>
          <w:szCs w:val="22"/>
        </w:rPr>
        <w:t>__________________________________________________________________</w:t>
      </w:r>
    </w:p>
    <w:p w14:paraId="56696A2D" w14:textId="77777777" w:rsidR="00A25375"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t xml:space="preserve">e della continuità aziendale così come intesa dall’ISA 570; il tutto come previsto dall’art. 2086 comma 2 e dall’art. 3 del </w:t>
      </w:r>
      <w:proofErr w:type="spellStart"/>
      <w:r>
        <w:rPr>
          <w:rFonts w:ascii="Tahoma" w:eastAsia="Tahoma" w:hAnsi="Tahoma" w:cs="Tahoma"/>
          <w:color w:val="666666"/>
          <w:sz w:val="22"/>
          <w:szCs w:val="22"/>
        </w:rPr>
        <w:t>D.Dlgs</w:t>
      </w:r>
      <w:proofErr w:type="spellEnd"/>
      <w:r>
        <w:rPr>
          <w:rFonts w:ascii="Tahoma" w:eastAsia="Tahoma" w:hAnsi="Tahoma" w:cs="Tahoma"/>
          <w:color w:val="666666"/>
          <w:sz w:val="22"/>
          <w:szCs w:val="22"/>
        </w:rPr>
        <w:t xml:space="preserve"> 14/2019 e successive modifiche. Ciò anche al fine di provvedere ad indicare nella nota integrativa allegata al bilancio l’informativa prevista dall’art. 2381 comma 5.</w:t>
      </w:r>
    </w:p>
    <w:p w14:paraId="251B2B0C" w14:textId="77777777" w:rsidR="00A25375" w:rsidRDefault="00A25375" w:rsidP="00E339AF">
      <w:pPr>
        <w:widowControl w:val="0"/>
        <w:spacing w:line="336" w:lineRule="auto"/>
        <w:ind w:right="136"/>
        <w:jc w:val="both"/>
        <w:rPr>
          <w:rFonts w:ascii="Tahoma" w:eastAsia="Tahoma" w:hAnsi="Tahoma" w:cs="Tahoma"/>
          <w:color w:val="666666"/>
          <w:sz w:val="22"/>
          <w:szCs w:val="22"/>
        </w:rPr>
      </w:pPr>
    </w:p>
    <w:p w14:paraId="1E4F3803" w14:textId="77777777" w:rsidR="00A25375" w:rsidRDefault="00000000" w:rsidP="00E339AF">
      <w:pPr>
        <w:widowControl w:val="0"/>
        <w:spacing w:line="336" w:lineRule="auto"/>
        <w:ind w:right="136"/>
        <w:jc w:val="both"/>
        <w:rPr>
          <w:rFonts w:ascii="Tahoma" w:eastAsia="Tahoma" w:hAnsi="Tahoma" w:cs="Tahoma"/>
          <w:color w:val="666666"/>
          <w:sz w:val="22"/>
          <w:szCs w:val="22"/>
        </w:rPr>
      </w:pPr>
      <w:r>
        <w:rPr>
          <w:rFonts w:ascii="Arial Unicode MS" w:eastAsia="Arial Unicode MS" w:hAnsi="Arial Unicode MS" w:cs="Arial Unicode MS"/>
          <w:color w:val="666666"/>
          <w:sz w:val="32"/>
          <w:szCs w:val="32"/>
        </w:rPr>
        <w:t>☐</w:t>
      </w:r>
      <w:r>
        <w:rPr>
          <w:rFonts w:ascii="Tahoma" w:eastAsia="Tahoma" w:hAnsi="Tahoma" w:cs="Tahoma"/>
          <w:color w:val="666666"/>
          <w:sz w:val="22"/>
          <w:szCs w:val="22"/>
        </w:rPr>
        <w:t xml:space="preserve"> </w:t>
      </w:r>
      <w:r>
        <w:rPr>
          <w:rFonts w:ascii="Tahoma" w:eastAsia="Tahoma" w:hAnsi="Tahoma" w:cs="Tahoma"/>
          <w:b/>
          <w:color w:val="666666"/>
          <w:sz w:val="22"/>
          <w:szCs w:val="22"/>
        </w:rPr>
        <w:t>CHE NON Intende conferire</w:t>
      </w:r>
      <w:r>
        <w:rPr>
          <w:rFonts w:ascii="Tahoma" w:eastAsia="Tahoma" w:hAnsi="Tahoma" w:cs="Tahoma"/>
          <w:color w:val="666666"/>
          <w:sz w:val="22"/>
          <w:szCs w:val="22"/>
        </w:rPr>
        <w:t xml:space="preserve"> alla Studio </w:t>
      </w:r>
    </w:p>
    <w:p w14:paraId="60249DF5" w14:textId="6F43E365" w:rsidR="00A25375"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t xml:space="preserve">(nome dello studio): </w:t>
      </w:r>
      <w:r>
        <w:rPr>
          <w:rFonts w:ascii="Times New Roman" w:eastAsia="Times New Roman" w:hAnsi="Times New Roman" w:cs="Times New Roman"/>
          <w:color w:val="666666"/>
          <w:sz w:val="22"/>
          <w:szCs w:val="22"/>
        </w:rPr>
        <w:t>__________________________________________</w:t>
      </w:r>
      <w:r>
        <w:rPr>
          <w:rFonts w:ascii="Tahoma" w:eastAsia="Tahoma" w:hAnsi="Tahoma" w:cs="Tahoma"/>
          <w:color w:val="666666"/>
          <w:sz w:val="22"/>
          <w:szCs w:val="22"/>
        </w:rPr>
        <w:t>l’incarico professionale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di misurare</w:t>
      </w:r>
      <w:r w:rsidR="00082ED6">
        <w:rPr>
          <w:rFonts w:ascii="Tahoma" w:eastAsia="Tahoma" w:hAnsi="Tahoma" w:cs="Tahoma"/>
          <w:color w:val="666666"/>
          <w:sz w:val="22"/>
          <w:szCs w:val="22"/>
        </w:rPr>
        <w:t xml:space="preserve"> </w:t>
      </w:r>
      <w:r>
        <w:rPr>
          <w:rFonts w:ascii="Tahoma" w:eastAsia="Tahoma" w:hAnsi="Tahoma" w:cs="Tahoma"/>
          <w:color w:val="666666"/>
          <w:sz w:val="22"/>
          <w:szCs w:val="22"/>
        </w:rPr>
        <w:t>la presenza degli adeguati assetti organizzativi amministrativi e contabili della Società (nome società) ______________________________________________________</w:t>
      </w:r>
      <w:r w:rsidR="00082ED6">
        <w:rPr>
          <w:rFonts w:ascii="Tahoma" w:eastAsia="Tahoma" w:hAnsi="Tahoma" w:cs="Tahoma"/>
          <w:color w:val="666666"/>
          <w:sz w:val="22"/>
          <w:szCs w:val="22"/>
        </w:rPr>
        <w:t xml:space="preserve"> </w:t>
      </w:r>
      <w:r>
        <w:rPr>
          <w:rFonts w:ascii="Tahoma" w:eastAsia="Tahoma" w:hAnsi="Tahoma" w:cs="Tahoma"/>
          <w:color w:val="666666"/>
          <w:sz w:val="22"/>
          <w:szCs w:val="22"/>
        </w:rPr>
        <w:t xml:space="preserve"> </w:t>
      </w:r>
    </w:p>
    <w:p w14:paraId="77CCBC28" w14:textId="35CBCABD" w:rsidR="00A25375"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lastRenderedPageBreak/>
        <w:t xml:space="preserve">e della continuità aziendale così come intesa dall’ISA 570; il tutto come previsto dall’art. 2086 comma 2 e dall’art. 3 del </w:t>
      </w:r>
      <w:proofErr w:type="spellStart"/>
      <w:r>
        <w:rPr>
          <w:rFonts w:ascii="Tahoma" w:eastAsia="Tahoma" w:hAnsi="Tahoma" w:cs="Tahoma"/>
          <w:color w:val="666666"/>
          <w:sz w:val="22"/>
          <w:szCs w:val="22"/>
        </w:rPr>
        <w:t>D.Dlgs</w:t>
      </w:r>
      <w:proofErr w:type="spellEnd"/>
      <w:r>
        <w:rPr>
          <w:rFonts w:ascii="Tahoma" w:eastAsia="Tahoma" w:hAnsi="Tahoma" w:cs="Tahoma"/>
          <w:color w:val="666666"/>
          <w:sz w:val="22"/>
          <w:szCs w:val="22"/>
        </w:rPr>
        <w:t xml:space="preserve"> 14/2019 e successive modifiche. </w:t>
      </w:r>
      <w:r w:rsidR="00082ED6">
        <w:rPr>
          <w:rFonts w:ascii="Tahoma" w:eastAsia="Tahoma" w:hAnsi="Tahoma" w:cs="Tahoma"/>
          <w:color w:val="666666"/>
          <w:sz w:val="22"/>
          <w:szCs w:val="22"/>
        </w:rPr>
        <w:t>È</w:t>
      </w:r>
      <w:r>
        <w:rPr>
          <w:rFonts w:ascii="Tahoma" w:eastAsia="Tahoma" w:hAnsi="Tahoma" w:cs="Tahoma"/>
          <w:color w:val="666666"/>
          <w:sz w:val="22"/>
          <w:szCs w:val="22"/>
        </w:rPr>
        <w:t xml:space="preserve"> perfettamente consapevole che tale decisione impedisce alla società </w:t>
      </w:r>
    </w:p>
    <w:p w14:paraId="045B49EA" w14:textId="77777777" w:rsidR="00A25375"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t xml:space="preserve">(nome società): </w:t>
      </w:r>
      <w:r>
        <w:rPr>
          <w:rFonts w:ascii="Times New Roman" w:eastAsia="Times New Roman" w:hAnsi="Times New Roman" w:cs="Times New Roman"/>
          <w:color w:val="666666"/>
          <w:sz w:val="22"/>
          <w:szCs w:val="22"/>
        </w:rPr>
        <w:t>__________________________________________________________________</w:t>
      </w:r>
      <w:r>
        <w:rPr>
          <w:rFonts w:ascii="Tahoma" w:eastAsia="Tahoma" w:hAnsi="Tahoma" w:cs="Tahoma"/>
          <w:color w:val="666666"/>
          <w:sz w:val="22"/>
          <w:szCs w:val="22"/>
        </w:rPr>
        <w:t xml:space="preserve"> di rispettare l’obbligo di informativa nella nota integrativa previsto dall’art. 2381 comma 5. A TAL FINE DICHIARA ULTERIORMENTE DI ESONERARE DA QUALSIASI RESPONSABILITA’ DOVESSERO SORGERE DA TALE INADEMPIMENTO LO STUDIO </w:t>
      </w:r>
    </w:p>
    <w:p w14:paraId="3D2F4164" w14:textId="77974C1C" w:rsidR="00A25375"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t>(nome dello studio)</w:t>
      </w:r>
      <w:r>
        <w:rPr>
          <w:rFonts w:ascii="Tahoma" w:eastAsia="Tahoma" w:hAnsi="Tahoma" w:cs="Tahoma"/>
          <w:color w:val="FF00FF"/>
          <w:sz w:val="22"/>
          <w:szCs w:val="22"/>
        </w:rPr>
        <w:t xml:space="preserve">: </w:t>
      </w:r>
      <w:r>
        <w:rPr>
          <w:rFonts w:ascii="Times New Roman" w:eastAsia="Times New Roman" w:hAnsi="Times New Roman" w:cs="Times New Roman"/>
          <w:color w:val="666666"/>
          <w:sz w:val="22"/>
          <w:szCs w:val="22"/>
        </w:rPr>
        <w:t>______________________________________________________________</w:t>
      </w:r>
      <w:r w:rsidR="00082ED6">
        <w:rPr>
          <w:rFonts w:ascii="Tahoma" w:eastAsia="Tahoma" w:hAnsi="Tahoma" w:cs="Tahoma"/>
          <w:color w:val="FF00FF"/>
          <w:sz w:val="22"/>
          <w:szCs w:val="22"/>
        </w:rPr>
        <w:t xml:space="preserve"> </w:t>
      </w:r>
      <w:r>
        <w:rPr>
          <w:rFonts w:ascii="Tahoma" w:eastAsia="Tahoma" w:hAnsi="Tahoma" w:cs="Tahoma"/>
          <w:color w:val="666666"/>
          <w:sz w:val="22"/>
          <w:szCs w:val="22"/>
        </w:rPr>
        <w:t>AL QUALE RICONOSCE DI AVER PROVVEDUTO CON PROFESSIONALITA’ ED ADEGUATEZZA AD INFORMARE IL SOTTOSCRITTO DEGLI OBBLIGHI DI CUI ALLA NORMATIVA RICHIAMATA IN PRECEDENZA.</w:t>
      </w:r>
    </w:p>
    <w:p w14:paraId="58EC79AF" w14:textId="77777777" w:rsidR="00A25375" w:rsidRDefault="00A25375" w:rsidP="00E339AF">
      <w:pPr>
        <w:widowControl w:val="0"/>
        <w:spacing w:line="336" w:lineRule="auto"/>
        <w:ind w:right="136"/>
        <w:jc w:val="both"/>
        <w:rPr>
          <w:rFonts w:ascii="Tahoma" w:eastAsia="Tahoma" w:hAnsi="Tahoma" w:cs="Tahoma"/>
          <w:color w:val="666666"/>
          <w:sz w:val="22"/>
          <w:szCs w:val="22"/>
        </w:rPr>
      </w:pPr>
    </w:p>
    <w:p w14:paraId="03051F0C" w14:textId="77777777" w:rsidR="00A25375" w:rsidRDefault="00000000" w:rsidP="00E339AF">
      <w:pPr>
        <w:widowControl w:val="0"/>
        <w:spacing w:line="336" w:lineRule="auto"/>
        <w:ind w:right="136"/>
        <w:jc w:val="both"/>
        <w:rPr>
          <w:rFonts w:ascii="Tahoma" w:eastAsia="Tahoma" w:hAnsi="Tahoma" w:cs="Tahoma"/>
          <w:color w:val="666666"/>
          <w:sz w:val="22"/>
          <w:szCs w:val="22"/>
        </w:rPr>
      </w:pPr>
      <w:r>
        <w:rPr>
          <w:rFonts w:ascii="Tahoma" w:eastAsia="Tahoma" w:hAnsi="Tahoma" w:cs="Tahoma"/>
          <w:color w:val="666666"/>
          <w:sz w:val="22"/>
          <w:szCs w:val="22"/>
        </w:rPr>
        <w:t>Allegato: 1 Mandato professionale</w:t>
      </w:r>
    </w:p>
    <w:p w14:paraId="7684B51F" w14:textId="77777777" w:rsidR="00A25375" w:rsidRDefault="00A25375">
      <w:pPr>
        <w:widowControl w:val="0"/>
        <w:spacing w:line="271" w:lineRule="auto"/>
        <w:ind w:right="137"/>
        <w:jc w:val="both"/>
        <w:rPr>
          <w:rFonts w:ascii="Tahoma" w:eastAsia="Tahoma" w:hAnsi="Tahoma" w:cs="Tahoma"/>
          <w:color w:val="666666"/>
          <w:sz w:val="22"/>
          <w:szCs w:val="22"/>
        </w:rPr>
      </w:pPr>
    </w:p>
    <w:p w14:paraId="5C255515" w14:textId="77777777" w:rsidR="00A25375" w:rsidRDefault="00A25375">
      <w:pPr>
        <w:widowControl w:val="0"/>
        <w:spacing w:line="271" w:lineRule="auto"/>
        <w:ind w:right="137"/>
        <w:jc w:val="both"/>
        <w:rPr>
          <w:rFonts w:ascii="Tahoma" w:eastAsia="Tahoma" w:hAnsi="Tahoma" w:cs="Tahoma"/>
          <w:color w:val="666666"/>
          <w:sz w:val="22"/>
          <w:szCs w:val="22"/>
        </w:rPr>
      </w:pPr>
    </w:p>
    <w:p w14:paraId="1F3DE9E9" w14:textId="77777777" w:rsidR="00A25375" w:rsidRDefault="00000000">
      <w:pPr>
        <w:widowControl w:val="0"/>
        <w:spacing w:line="271" w:lineRule="auto"/>
        <w:ind w:right="137"/>
        <w:jc w:val="center"/>
        <w:rPr>
          <w:rFonts w:ascii="Tahoma" w:eastAsia="Tahoma" w:hAnsi="Tahoma" w:cs="Tahoma"/>
          <w:color w:val="666666"/>
          <w:sz w:val="22"/>
          <w:szCs w:val="22"/>
        </w:rPr>
      </w:pPr>
      <w:r>
        <w:rPr>
          <w:rFonts w:ascii="Tahoma" w:eastAsia="Tahoma" w:hAnsi="Tahoma" w:cs="Tahoma"/>
          <w:color w:val="666666"/>
          <w:sz w:val="22"/>
          <w:szCs w:val="22"/>
        </w:rPr>
        <w:t>In Fede</w:t>
      </w:r>
    </w:p>
    <w:p w14:paraId="25435CF9" w14:textId="77777777" w:rsidR="00A25375" w:rsidRDefault="00A25375">
      <w:pPr>
        <w:widowControl w:val="0"/>
        <w:spacing w:line="271" w:lineRule="auto"/>
        <w:ind w:right="137"/>
        <w:jc w:val="center"/>
        <w:rPr>
          <w:rFonts w:ascii="Tahoma" w:eastAsia="Tahoma" w:hAnsi="Tahoma" w:cs="Tahoma"/>
          <w:color w:val="666666"/>
          <w:sz w:val="22"/>
          <w:szCs w:val="22"/>
        </w:rPr>
      </w:pPr>
    </w:p>
    <w:p w14:paraId="24528151" w14:textId="77777777" w:rsidR="00A25375" w:rsidRDefault="00000000">
      <w:pPr>
        <w:widowControl w:val="0"/>
        <w:spacing w:line="271" w:lineRule="auto"/>
        <w:ind w:right="137"/>
        <w:jc w:val="center"/>
        <w:rPr>
          <w:rFonts w:ascii="Tahoma" w:eastAsia="Tahoma" w:hAnsi="Tahoma" w:cs="Tahoma"/>
          <w:color w:val="666666"/>
          <w:sz w:val="22"/>
          <w:szCs w:val="22"/>
        </w:rPr>
      </w:pPr>
      <w:r>
        <w:rPr>
          <w:rFonts w:ascii="Tahoma" w:eastAsia="Tahoma" w:hAnsi="Tahoma" w:cs="Tahoma"/>
          <w:color w:val="666666"/>
          <w:sz w:val="22"/>
          <w:szCs w:val="22"/>
        </w:rPr>
        <w:t>___________________________________________________________________</w:t>
      </w:r>
    </w:p>
    <w:p w14:paraId="0C37D77F" w14:textId="687A2BFA" w:rsidR="00A25375" w:rsidRDefault="00000000">
      <w:pPr>
        <w:widowControl w:val="0"/>
        <w:spacing w:line="271" w:lineRule="auto"/>
        <w:ind w:right="137"/>
        <w:jc w:val="center"/>
        <w:rPr>
          <w:rFonts w:ascii="Tahoma" w:eastAsia="Tahoma" w:hAnsi="Tahoma" w:cs="Tahoma"/>
          <w:color w:val="666666"/>
          <w:sz w:val="22"/>
          <w:szCs w:val="22"/>
        </w:rPr>
      </w:pPr>
      <w:r>
        <w:rPr>
          <w:rFonts w:ascii="Tahoma" w:eastAsia="Tahoma" w:hAnsi="Tahoma" w:cs="Tahoma"/>
          <w:color w:val="666666"/>
          <w:sz w:val="22"/>
          <w:szCs w:val="22"/>
        </w:rPr>
        <w:t>(</w:t>
      </w:r>
      <w:r w:rsidR="00082ED6">
        <w:rPr>
          <w:rFonts w:ascii="Tahoma" w:eastAsia="Tahoma" w:hAnsi="Tahoma" w:cs="Tahoma"/>
          <w:color w:val="666666"/>
          <w:sz w:val="22"/>
          <w:szCs w:val="22"/>
        </w:rPr>
        <w:t>n</w:t>
      </w:r>
      <w:r>
        <w:rPr>
          <w:rFonts w:ascii="Tahoma" w:eastAsia="Tahoma" w:hAnsi="Tahoma" w:cs="Tahoma"/>
          <w:color w:val="666666"/>
          <w:sz w:val="22"/>
          <w:szCs w:val="22"/>
        </w:rPr>
        <w:t xml:space="preserve">ome </w:t>
      </w:r>
      <w:r w:rsidR="00082ED6">
        <w:rPr>
          <w:rFonts w:ascii="Tahoma" w:eastAsia="Tahoma" w:hAnsi="Tahoma" w:cs="Tahoma"/>
          <w:color w:val="666666"/>
          <w:sz w:val="22"/>
          <w:szCs w:val="22"/>
        </w:rPr>
        <w:t>c</w:t>
      </w:r>
      <w:r>
        <w:rPr>
          <w:rFonts w:ascii="Tahoma" w:eastAsia="Tahoma" w:hAnsi="Tahoma" w:cs="Tahoma"/>
          <w:color w:val="666666"/>
          <w:sz w:val="22"/>
          <w:szCs w:val="22"/>
        </w:rPr>
        <w:t xml:space="preserve">ognome e firma legale rappresentante società cliente) </w:t>
      </w:r>
    </w:p>
    <w:p w14:paraId="5552D929" w14:textId="77777777" w:rsidR="00A25375" w:rsidRDefault="00A25375">
      <w:pPr>
        <w:widowControl w:val="0"/>
        <w:spacing w:line="271" w:lineRule="auto"/>
        <w:ind w:right="137"/>
        <w:jc w:val="center"/>
        <w:rPr>
          <w:rFonts w:ascii="Tahoma" w:eastAsia="Tahoma" w:hAnsi="Tahoma" w:cs="Tahoma"/>
          <w:color w:val="666666"/>
          <w:sz w:val="22"/>
          <w:szCs w:val="22"/>
        </w:rPr>
      </w:pPr>
    </w:p>
    <w:p w14:paraId="6661D24F" w14:textId="77777777" w:rsidR="00A25375" w:rsidRDefault="00A25375">
      <w:pPr>
        <w:widowControl w:val="0"/>
        <w:spacing w:line="271" w:lineRule="auto"/>
        <w:ind w:right="137"/>
        <w:jc w:val="center"/>
        <w:rPr>
          <w:rFonts w:ascii="Tahoma" w:eastAsia="Tahoma" w:hAnsi="Tahoma" w:cs="Tahoma"/>
          <w:color w:val="666666"/>
          <w:sz w:val="22"/>
          <w:szCs w:val="22"/>
        </w:rPr>
      </w:pPr>
    </w:p>
    <w:p w14:paraId="51CE076D" w14:textId="77777777" w:rsidR="00A25375" w:rsidRDefault="00000000">
      <w:pPr>
        <w:widowControl w:val="0"/>
        <w:spacing w:line="271" w:lineRule="auto"/>
        <w:ind w:right="137"/>
        <w:jc w:val="center"/>
        <w:rPr>
          <w:rFonts w:ascii="Tahoma" w:eastAsia="Tahoma" w:hAnsi="Tahoma" w:cs="Tahoma"/>
          <w:color w:val="666666"/>
          <w:sz w:val="22"/>
          <w:szCs w:val="22"/>
        </w:rPr>
      </w:pPr>
      <w:r>
        <w:rPr>
          <w:rFonts w:ascii="Tahoma" w:eastAsia="Tahoma" w:hAnsi="Tahoma" w:cs="Tahoma"/>
          <w:color w:val="666666"/>
          <w:sz w:val="22"/>
          <w:szCs w:val="22"/>
        </w:rPr>
        <w:t>___________________________________________________________________</w:t>
      </w:r>
    </w:p>
    <w:p w14:paraId="67FFBB8F" w14:textId="4636B2B1" w:rsidR="00A25375" w:rsidRDefault="00000000">
      <w:pPr>
        <w:widowControl w:val="0"/>
        <w:spacing w:line="271" w:lineRule="auto"/>
        <w:ind w:right="137"/>
        <w:jc w:val="center"/>
        <w:rPr>
          <w:rFonts w:ascii="Arial" w:eastAsia="Arial" w:hAnsi="Arial" w:cs="Arial"/>
          <w:color w:val="666666"/>
          <w:sz w:val="22"/>
          <w:szCs w:val="22"/>
        </w:rPr>
      </w:pPr>
      <w:r>
        <w:rPr>
          <w:rFonts w:ascii="Tahoma" w:eastAsia="Tahoma" w:hAnsi="Tahoma" w:cs="Tahoma"/>
          <w:color w:val="666666"/>
          <w:sz w:val="22"/>
          <w:szCs w:val="22"/>
        </w:rPr>
        <w:t>(</w:t>
      </w:r>
      <w:r w:rsidR="00082ED6">
        <w:rPr>
          <w:rFonts w:ascii="Tahoma" w:eastAsia="Tahoma" w:hAnsi="Tahoma" w:cs="Tahoma"/>
          <w:color w:val="666666"/>
          <w:sz w:val="22"/>
          <w:szCs w:val="22"/>
        </w:rPr>
        <w:t>n</w:t>
      </w:r>
      <w:r>
        <w:rPr>
          <w:rFonts w:ascii="Tahoma" w:eastAsia="Tahoma" w:hAnsi="Tahoma" w:cs="Tahoma"/>
          <w:color w:val="666666"/>
          <w:sz w:val="22"/>
          <w:szCs w:val="22"/>
        </w:rPr>
        <w:t xml:space="preserve">ome </w:t>
      </w:r>
      <w:r w:rsidR="00082ED6">
        <w:rPr>
          <w:rFonts w:ascii="Tahoma" w:eastAsia="Tahoma" w:hAnsi="Tahoma" w:cs="Tahoma"/>
          <w:color w:val="666666"/>
          <w:sz w:val="22"/>
          <w:szCs w:val="22"/>
        </w:rPr>
        <w:t>c</w:t>
      </w:r>
      <w:r>
        <w:rPr>
          <w:rFonts w:ascii="Tahoma" w:eastAsia="Tahoma" w:hAnsi="Tahoma" w:cs="Tahoma"/>
          <w:color w:val="666666"/>
          <w:sz w:val="22"/>
          <w:szCs w:val="22"/>
        </w:rPr>
        <w:t xml:space="preserve">ognome e </w:t>
      </w:r>
      <w:r w:rsidR="00082ED6">
        <w:rPr>
          <w:rFonts w:ascii="Tahoma" w:eastAsia="Tahoma" w:hAnsi="Tahoma" w:cs="Tahoma"/>
          <w:color w:val="666666"/>
          <w:sz w:val="22"/>
          <w:szCs w:val="22"/>
        </w:rPr>
        <w:t>f</w:t>
      </w:r>
      <w:r>
        <w:rPr>
          <w:rFonts w:ascii="Tahoma" w:eastAsia="Tahoma" w:hAnsi="Tahoma" w:cs="Tahoma"/>
          <w:color w:val="666666"/>
          <w:sz w:val="22"/>
          <w:szCs w:val="22"/>
        </w:rPr>
        <w:t xml:space="preserve">irma </w:t>
      </w:r>
      <w:r w:rsidR="00082ED6">
        <w:rPr>
          <w:rFonts w:ascii="Tahoma" w:eastAsia="Tahoma" w:hAnsi="Tahoma" w:cs="Tahoma"/>
          <w:color w:val="666666"/>
          <w:sz w:val="22"/>
          <w:szCs w:val="22"/>
        </w:rPr>
        <w:t>d</w:t>
      </w:r>
      <w:r>
        <w:rPr>
          <w:rFonts w:ascii="Tahoma" w:eastAsia="Tahoma" w:hAnsi="Tahoma" w:cs="Tahoma"/>
          <w:color w:val="666666"/>
          <w:sz w:val="22"/>
          <w:szCs w:val="22"/>
        </w:rPr>
        <w:t>ominus dello studio professionale)</w:t>
      </w:r>
    </w:p>
    <w:p w14:paraId="58CB4A6B" w14:textId="77777777" w:rsidR="00A25375" w:rsidRDefault="00A25375">
      <w:pPr>
        <w:widowControl w:val="0"/>
        <w:ind w:right="140"/>
        <w:jc w:val="both"/>
        <w:rPr>
          <w:rFonts w:ascii="Arimo" w:eastAsia="Arimo" w:hAnsi="Arimo" w:cs="Arimo"/>
          <w:color w:val="FF00FF"/>
          <w:sz w:val="22"/>
          <w:szCs w:val="22"/>
        </w:rPr>
      </w:pPr>
    </w:p>
    <w:p w14:paraId="09F2D32D" w14:textId="77777777" w:rsidR="00A25375" w:rsidRDefault="00A25375">
      <w:pPr>
        <w:widowControl w:val="0"/>
        <w:spacing w:after="160" w:line="120" w:lineRule="auto"/>
        <w:jc w:val="both"/>
        <w:rPr>
          <w:rFonts w:ascii="Arial" w:eastAsia="Arial" w:hAnsi="Arial" w:cs="Arial"/>
          <w:color w:val="FF00FF"/>
          <w:sz w:val="22"/>
          <w:szCs w:val="22"/>
        </w:rPr>
      </w:pPr>
    </w:p>
    <w:p w14:paraId="439C12D4" w14:textId="77777777" w:rsidR="00A25375" w:rsidRDefault="00A25375">
      <w:pPr>
        <w:widowControl w:val="0"/>
        <w:spacing w:after="160" w:line="120" w:lineRule="auto"/>
        <w:jc w:val="both"/>
        <w:rPr>
          <w:rFonts w:ascii="Arial" w:eastAsia="Arial" w:hAnsi="Arial" w:cs="Arial"/>
          <w:color w:val="666666"/>
          <w:sz w:val="22"/>
          <w:szCs w:val="22"/>
        </w:rPr>
      </w:pPr>
    </w:p>
    <w:p w14:paraId="558B32AB" w14:textId="77777777" w:rsidR="00A25375" w:rsidRDefault="00A25375">
      <w:pPr>
        <w:widowControl w:val="0"/>
        <w:spacing w:after="160" w:line="120" w:lineRule="auto"/>
        <w:jc w:val="both"/>
        <w:rPr>
          <w:rFonts w:ascii="Arial" w:eastAsia="Arial" w:hAnsi="Arial" w:cs="Arial"/>
          <w:color w:val="666666"/>
          <w:sz w:val="22"/>
          <w:szCs w:val="22"/>
        </w:rPr>
      </w:pPr>
    </w:p>
    <w:p w14:paraId="5823BA4A" w14:textId="77777777" w:rsidR="00A25375" w:rsidRDefault="00A25375">
      <w:pPr>
        <w:widowControl w:val="0"/>
        <w:spacing w:after="160" w:line="120" w:lineRule="auto"/>
        <w:jc w:val="both"/>
        <w:rPr>
          <w:rFonts w:ascii="Times New Roman" w:eastAsia="Times New Roman" w:hAnsi="Times New Roman" w:cs="Times New Roman"/>
          <w:b/>
          <w:color w:val="C4A577"/>
          <w:sz w:val="24"/>
          <w:szCs w:val="24"/>
        </w:rPr>
      </w:pPr>
    </w:p>
    <w:sectPr w:rsidR="00A25375">
      <w:headerReference w:type="even" r:id="rId7"/>
      <w:headerReference w:type="default" r:id="rId8"/>
      <w:footerReference w:type="default" r:id="rId9"/>
      <w:headerReference w:type="first" r:id="rId10"/>
      <w:pgSz w:w="11906" w:h="16838"/>
      <w:pgMar w:top="1440" w:right="1440" w:bottom="1440" w:left="1440" w:header="113" w:footer="720" w:gutter="0"/>
      <w:pgNumType w:start="1"/>
      <w:cols w:space="720" w:equalWidth="0">
        <w:col w:w="9025"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6F0B7" w14:textId="77777777" w:rsidR="00AD767F" w:rsidRDefault="00AD767F">
      <w:r>
        <w:separator/>
      </w:r>
    </w:p>
  </w:endnote>
  <w:endnote w:type="continuationSeparator" w:id="0">
    <w:p w14:paraId="2CB4137F" w14:textId="77777777" w:rsidR="00AD767F" w:rsidRDefault="00AD7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layfair Display">
    <w:charset w:val="00"/>
    <w:family w:val="auto"/>
    <w:pitch w:val="variable"/>
    <w:sig w:usb0="20000207" w:usb1="00000000" w:usb2="00000000" w:usb3="00000000" w:csb0="00000197" w:csb1="00000000"/>
  </w:font>
  <w:font w:name="Arimo">
    <w:altName w:val="Calibri"/>
    <w:charset w:val="00"/>
    <w:family w:val="swiss"/>
    <w:pitch w:val="variable"/>
    <w:sig w:usb0="E0000AFF" w:usb1="500078FF" w:usb2="00000021" w:usb3="00000000" w:csb0="000001B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5281E" w14:textId="77777777" w:rsidR="00A25375" w:rsidRDefault="00A25375">
    <w:pPr>
      <w:spacing w:line="192" w:lineRule="auto"/>
      <w:rPr>
        <w:color w:val="C4A577"/>
        <w:sz w:val="24"/>
        <w:szCs w:val="24"/>
      </w:rPr>
    </w:pPr>
  </w:p>
  <w:p w14:paraId="0070BC1A" w14:textId="77777777" w:rsidR="00A25375" w:rsidRDefault="00A25375">
    <w:pPr>
      <w:spacing w:line="192" w:lineRule="auto"/>
      <w:rPr>
        <w:color w:val="C4A577"/>
        <w:sz w:val="16"/>
        <w:szCs w:val="16"/>
      </w:rPr>
    </w:pPr>
  </w:p>
  <w:p w14:paraId="7FECE392" w14:textId="77777777" w:rsidR="00A25375" w:rsidRDefault="00000000">
    <w:pPr>
      <w:spacing w:line="216" w:lineRule="auto"/>
      <w:jc w:val="center"/>
      <w:rPr>
        <w:color w:val="C4A577"/>
        <w:sz w:val="16"/>
        <w:szCs w:val="16"/>
      </w:rPr>
    </w:pPr>
    <w:r>
      <w:rPr>
        <w:color w:val="C4A577"/>
        <w:sz w:val="16"/>
        <w:szCs w:val="16"/>
      </w:rPr>
      <w:t>Tuo indirizzo Studio</w:t>
    </w:r>
  </w:p>
  <w:p w14:paraId="3DE345BC" w14:textId="77777777" w:rsidR="00A25375" w:rsidRDefault="00000000">
    <w:pPr>
      <w:spacing w:line="216" w:lineRule="auto"/>
      <w:jc w:val="center"/>
      <w:rPr>
        <w:color w:val="C4A577"/>
        <w:sz w:val="16"/>
        <w:szCs w:val="16"/>
      </w:rPr>
    </w:pPr>
    <w:r>
      <w:rPr>
        <w:color w:val="C4A577"/>
        <w:sz w:val="16"/>
        <w:szCs w:val="16"/>
      </w:rPr>
      <w:t>tuoi numeri telefonici e-Mail - Sito</w:t>
    </w:r>
  </w:p>
  <w:p w14:paraId="52F71FAD" w14:textId="77777777" w:rsidR="00A25375" w:rsidRDefault="00000000">
    <w:pPr>
      <w:spacing w:line="216" w:lineRule="auto"/>
      <w:jc w:val="center"/>
      <w:rPr>
        <w:color w:val="C4A577"/>
        <w:sz w:val="16"/>
        <w:szCs w:val="16"/>
      </w:rPr>
    </w:pPr>
    <w:r>
      <w:rPr>
        <w:color w:val="C4A577"/>
        <w:sz w:val="16"/>
        <w:szCs w:val="16"/>
      </w:rPr>
      <w:t xml:space="preserve"> eventuali altri dati e indicazioni</w:t>
    </w:r>
  </w:p>
  <w:p w14:paraId="6D871CA4" w14:textId="77777777" w:rsidR="00A25375" w:rsidRDefault="00000000">
    <w:pPr>
      <w:spacing w:line="216" w:lineRule="auto"/>
      <w:jc w:val="right"/>
      <w:rPr>
        <w:color w:val="C4A577"/>
      </w:rPr>
    </w:pPr>
    <w:r>
      <w:rPr>
        <w:color w:val="C4A577"/>
      </w:rPr>
      <w:fldChar w:fldCharType="begin"/>
    </w:r>
    <w:r>
      <w:rPr>
        <w:color w:val="C4A577"/>
      </w:rPr>
      <w:instrText>PAGE</w:instrText>
    </w:r>
    <w:r>
      <w:rPr>
        <w:color w:val="C4A577"/>
      </w:rPr>
      <w:fldChar w:fldCharType="separate"/>
    </w:r>
    <w:r w:rsidR="00E339AF">
      <w:rPr>
        <w:noProof/>
        <w:color w:val="C4A577"/>
      </w:rPr>
      <w:t>1</w:t>
    </w:r>
    <w:r>
      <w:rPr>
        <w:color w:val="C4A57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1DA02" w14:textId="77777777" w:rsidR="00AD767F" w:rsidRDefault="00AD767F">
      <w:r>
        <w:separator/>
      </w:r>
    </w:p>
  </w:footnote>
  <w:footnote w:type="continuationSeparator" w:id="0">
    <w:p w14:paraId="7F100D23" w14:textId="77777777" w:rsidR="00AD767F" w:rsidRDefault="00AD7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2399E" w14:textId="77777777" w:rsidR="00E339AF" w:rsidRDefault="00E339A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1763F" w14:textId="77777777" w:rsidR="00A25375" w:rsidRDefault="00A25375">
    <w:pPr>
      <w:spacing w:line="335" w:lineRule="auto"/>
      <w:jc w:val="right"/>
      <w:rPr>
        <w:i/>
        <w:color w:val="C4A577"/>
      </w:rPr>
    </w:pPr>
  </w:p>
  <w:tbl>
    <w:tblPr>
      <w:tblStyle w:val="a"/>
      <w:tblW w:w="978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45"/>
      <w:gridCol w:w="5835"/>
    </w:tblGrid>
    <w:tr w:rsidR="00A25375" w14:paraId="110160F7" w14:textId="77777777">
      <w:trPr>
        <w:trHeight w:val="1939"/>
      </w:trPr>
      <w:tc>
        <w:tcPr>
          <w:tcW w:w="3945" w:type="dxa"/>
          <w:tcBorders>
            <w:top w:val="nil"/>
            <w:left w:val="nil"/>
            <w:bottom w:val="nil"/>
            <w:right w:val="nil"/>
          </w:tcBorders>
          <w:shd w:val="clear" w:color="auto" w:fill="auto"/>
          <w:tcMar>
            <w:top w:w="100" w:type="dxa"/>
            <w:left w:w="100" w:type="dxa"/>
            <w:bottom w:w="100" w:type="dxa"/>
            <w:right w:w="100" w:type="dxa"/>
          </w:tcMar>
        </w:tcPr>
        <w:p w14:paraId="0A824700" w14:textId="77777777" w:rsidR="00A25375" w:rsidRDefault="00000000">
          <w:pPr>
            <w:widowControl w:val="0"/>
            <w:pBdr>
              <w:top w:val="nil"/>
              <w:left w:val="nil"/>
              <w:bottom w:val="nil"/>
              <w:right w:val="nil"/>
              <w:between w:val="nil"/>
            </w:pBdr>
            <w:rPr>
              <w:i/>
              <w:color w:val="C4A577"/>
            </w:rPr>
          </w:pPr>
          <w:r>
            <w:rPr>
              <w:i/>
              <w:noProof/>
              <w:color w:val="C4A577"/>
            </w:rPr>
            <w:drawing>
              <wp:inline distT="114300" distB="114300" distL="114300" distR="114300" wp14:anchorId="32C00684" wp14:editId="0BC6C8D4">
                <wp:extent cx="2076450" cy="107009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3112" t="21926" r="3112" b="26978"/>
                        <a:stretch>
                          <a:fillRect/>
                        </a:stretch>
                      </pic:blipFill>
                      <pic:spPr>
                        <a:xfrm>
                          <a:off x="0" y="0"/>
                          <a:ext cx="2076450" cy="1070091"/>
                        </a:xfrm>
                        <a:prstGeom prst="rect">
                          <a:avLst/>
                        </a:prstGeom>
                        <a:ln/>
                      </pic:spPr>
                    </pic:pic>
                  </a:graphicData>
                </a:graphic>
              </wp:inline>
            </w:drawing>
          </w:r>
        </w:p>
      </w:tc>
      <w:tc>
        <w:tcPr>
          <w:tcW w:w="5835" w:type="dxa"/>
          <w:tcBorders>
            <w:top w:val="nil"/>
            <w:left w:val="nil"/>
            <w:bottom w:val="nil"/>
            <w:right w:val="nil"/>
          </w:tcBorders>
          <w:shd w:val="clear" w:color="auto" w:fill="auto"/>
          <w:tcMar>
            <w:top w:w="100" w:type="dxa"/>
            <w:left w:w="100" w:type="dxa"/>
            <w:bottom w:w="100" w:type="dxa"/>
            <w:right w:w="100" w:type="dxa"/>
          </w:tcMar>
        </w:tcPr>
        <w:p w14:paraId="42EA84FF" w14:textId="77777777" w:rsidR="00A25375" w:rsidRDefault="00A25375">
          <w:pPr>
            <w:spacing w:line="335" w:lineRule="auto"/>
            <w:jc w:val="right"/>
            <w:rPr>
              <w:i/>
              <w:color w:val="C4A577"/>
            </w:rPr>
          </w:pPr>
        </w:p>
        <w:p w14:paraId="39FCF4BE" w14:textId="77777777" w:rsidR="00A25375" w:rsidRDefault="00A25375">
          <w:pPr>
            <w:spacing w:line="335" w:lineRule="auto"/>
            <w:jc w:val="right"/>
            <w:rPr>
              <w:rFonts w:ascii="Arimo" w:eastAsia="Arimo" w:hAnsi="Arimo" w:cs="Arimo"/>
              <w:i/>
              <w:color w:val="C4A577"/>
            </w:rPr>
          </w:pPr>
        </w:p>
        <w:p w14:paraId="3845E927" w14:textId="77777777" w:rsidR="00A25375" w:rsidRDefault="00A25375">
          <w:pPr>
            <w:spacing w:line="335" w:lineRule="auto"/>
            <w:jc w:val="right"/>
            <w:rPr>
              <w:rFonts w:ascii="Arimo" w:eastAsia="Arimo" w:hAnsi="Arimo" w:cs="Arimo"/>
              <w:i/>
              <w:color w:val="C4A577"/>
            </w:rPr>
          </w:pPr>
        </w:p>
        <w:p w14:paraId="6D0E459F" w14:textId="77777777" w:rsidR="00A25375" w:rsidRDefault="00A25375">
          <w:pPr>
            <w:spacing w:line="288" w:lineRule="auto"/>
            <w:jc w:val="right"/>
            <w:rPr>
              <w:rFonts w:ascii="Arimo" w:eastAsia="Arimo" w:hAnsi="Arimo" w:cs="Arimo"/>
              <w:i/>
              <w:color w:val="C4A577"/>
            </w:rPr>
          </w:pPr>
        </w:p>
        <w:p w14:paraId="5791D767" w14:textId="06CB625C" w:rsidR="00A25375" w:rsidRDefault="00082ED6">
          <w:pPr>
            <w:widowControl w:val="0"/>
            <w:spacing w:line="288" w:lineRule="auto"/>
            <w:jc w:val="right"/>
            <w:rPr>
              <w:rFonts w:ascii="Arimo" w:eastAsia="Arimo" w:hAnsi="Arimo" w:cs="Arimo"/>
              <w:i/>
              <w:color w:val="C4A577"/>
            </w:rPr>
          </w:pPr>
          <w:r>
            <w:rPr>
              <w:rFonts w:ascii="Arimo" w:eastAsia="Arimo" w:hAnsi="Arimo" w:cs="Arimo"/>
              <w:color w:val="C4A577"/>
              <w:sz w:val="22"/>
              <w:szCs w:val="22"/>
            </w:rPr>
            <w:t xml:space="preserve">  </w:t>
          </w:r>
          <w:r w:rsidR="00000000">
            <w:rPr>
              <w:rFonts w:ascii="Arimo" w:eastAsia="Arimo" w:hAnsi="Arimo" w:cs="Arimo"/>
              <w:color w:val="C4A577"/>
              <w:sz w:val="22"/>
              <w:szCs w:val="22"/>
            </w:rPr>
            <w:t xml:space="preserve"> CONSENSO INFORMATO</w:t>
          </w:r>
        </w:p>
      </w:tc>
    </w:tr>
  </w:tbl>
  <w:p w14:paraId="7CF18F56" w14:textId="77777777" w:rsidR="00A25375" w:rsidRDefault="00A25375">
    <w:pPr>
      <w:spacing w:line="335" w:lineRule="auto"/>
      <w:rPr>
        <w:color w:val="C4A577"/>
      </w:rPr>
    </w:pPr>
  </w:p>
  <w:p w14:paraId="5A14CB81" w14:textId="77777777" w:rsidR="00A25375" w:rsidRDefault="00A25375">
    <w:pPr>
      <w:jc w:val="right"/>
    </w:pPr>
  </w:p>
  <w:p w14:paraId="6ACFF80A" w14:textId="77777777" w:rsidR="00A25375" w:rsidRDefault="00A2537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8BE7A" w14:textId="77777777" w:rsidR="00E339AF" w:rsidRDefault="00E339A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707C09"/>
    <w:multiLevelType w:val="multilevel"/>
    <w:tmpl w:val="7EFE4D4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59D50AD1"/>
    <w:multiLevelType w:val="multilevel"/>
    <w:tmpl w:val="6A9C6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87345314">
    <w:abstractNumId w:val="0"/>
  </w:num>
  <w:num w:numId="2" w16cid:durableId="11904167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375"/>
    <w:rsid w:val="00082ED6"/>
    <w:rsid w:val="003F6C7A"/>
    <w:rsid w:val="00450F88"/>
    <w:rsid w:val="00A25375"/>
    <w:rsid w:val="00AD767F"/>
    <w:rsid w:val="00CF494D"/>
    <w:rsid w:val="00E339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371A6E"/>
  <w15:docId w15:val="{3CD8F2CD-2C03-484D-AA4F-63490E429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spacing w:line="360" w:lineRule="auto"/>
      <w:ind w:right="220"/>
      <w:outlineLvl w:val="0"/>
    </w:pPr>
    <w:rPr>
      <w:rFonts w:ascii="Playfair Display" w:eastAsia="Playfair Display" w:hAnsi="Playfair Display" w:cs="Playfair Display"/>
      <w:color w:val="808080"/>
      <w:sz w:val="30"/>
      <w:szCs w:val="30"/>
    </w:rPr>
  </w:style>
  <w:style w:type="paragraph" w:styleId="Titolo2">
    <w:name w:val="heading 2"/>
    <w:basedOn w:val="Normale"/>
    <w:next w:val="Normale"/>
    <w:uiPriority w:val="9"/>
    <w:semiHidden/>
    <w:unhideWhenUsed/>
    <w:qFormat/>
    <w:pPr>
      <w:spacing w:before="200"/>
      <w:outlineLvl w:val="1"/>
    </w:pPr>
    <w:rPr>
      <w:b/>
      <w:color w:val="4F81BD"/>
      <w:sz w:val="26"/>
      <w:szCs w:val="26"/>
    </w:rPr>
  </w:style>
  <w:style w:type="paragraph" w:styleId="Titolo3">
    <w:name w:val="heading 3"/>
    <w:basedOn w:val="Normale"/>
    <w:next w:val="Normale"/>
    <w:uiPriority w:val="9"/>
    <w:semiHidden/>
    <w:unhideWhenUsed/>
    <w:qFormat/>
    <w:pPr>
      <w:spacing w:before="200"/>
      <w:outlineLvl w:val="2"/>
    </w:pPr>
    <w:rPr>
      <w:b/>
      <w:color w:val="4F81BD"/>
      <w:sz w:val="24"/>
      <w:szCs w:val="24"/>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spacing w:after="300"/>
    </w:pPr>
    <w:rPr>
      <w:color w:val="17365D"/>
      <w:sz w:val="52"/>
      <w:szCs w:val="52"/>
    </w:rPr>
  </w:style>
  <w:style w:type="paragraph" w:styleId="Sottotitolo">
    <w:name w:val="Subtitle"/>
    <w:basedOn w:val="Normale"/>
    <w:next w:val="Normale"/>
    <w:uiPriority w:val="11"/>
    <w:qFormat/>
    <w:rPr>
      <w:i/>
      <w:color w:val="4F81BD"/>
      <w:sz w:val="24"/>
      <w:szCs w:val="24"/>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Intestazione">
    <w:name w:val="header"/>
    <w:basedOn w:val="Normale"/>
    <w:link w:val="IntestazioneCarattere"/>
    <w:uiPriority w:val="99"/>
    <w:unhideWhenUsed/>
    <w:rsid w:val="00E339AF"/>
    <w:pPr>
      <w:tabs>
        <w:tab w:val="center" w:pos="4819"/>
        <w:tab w:val="right" w:pos="9638"/>
      </w:tabs>
    </w:pPr>
  </w:style>
  <w:style w:type="character" w:customStyle="1" w:styleId="IntestazioneCarattere">
    <w:name w:val="Intestazione Carattere"/>
    <w:basedOn w:val="Carpredefinitoparagrafo"/>
    <w:link w:val="Intestazione"/>
    <w:uiPriority w:val="99"/>
    <w:rsid w:val="00E339AF"/>
  </w:style>
  <w:style w:type="paragraph" w:styleId="Pidipagina">
    <w:name w:val="footer"/>
    <w:basedOn w:val="Normale"/>
    <w:link w:val="PidipaginaCarattere"/>
    <w:uiPriority w:val="99"/>
    <w:unhideWhenUsed/>
    <w:rsid w:val="00E339AF"/>
    <w:pPr>
      <w:tabs>
        <w:tab w:val="center" w:pos="4819"/>
        <w:tab w:val="right" w:pos="9638"/>
      </w:tabs>
    </w:pPr>
  </w:style>
  <w:style w:type="character" w:customStyle="1" w:styleId="PidipaginaCarattere">
    <w:name w:val="Piè di pagina Carattere"/>
    <w:basedOn w:val="Carpredefinitoparagrafo"/>
    <w:link w:val="Pidipagina"/>
    <w:uiPriority w:val="99"/>
    <w:rsid w:val="00E339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1413</Words>
  <Characters>8060</Characters>
  <Application>Microsoft Office Word</Application>
  <DocSecurity>0</DocSecurity>
  <Lines>67</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Alessandro Marziali</cp:lastModifiedBy>
  <cp:revision>3</cp:revision>
  <dcterms:created xsi:type="dcterms:W3CDTF">2023-05-04T08:30:00Z</dcterms:created>
  <dcterms:modified xsi:type="dcterms:W3CDTF">2023-05-04T08:50:00Z</dcterms:modified>
</cp:coreProperties>
</file>